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4A" w:rsidRPr="00E51C4A" w:rsidRDefault="00E51C4A" w:rsidP="00E51C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1C4A">
        <w:rPr>
          <w:rFonts w:ascii="Arial" w:eastAsia="Times New Roman" w:hAnsi="Arial" w:cs="Arial"/>
          <w:noProof/>
          <w:color w:val="0096D7"/>
          <w:sz w:val="24"/>
          <w:szCs w:val="24"/>
          <w:lang w:eastAsia="ru-RU"/>
        </w:rPr>
        <w:drawing>
          <wp:inline distT="0" distB="0" distL="0" distR="0" wp14:anchorId="75086AB4" wp14:editId="5EF26437">
            <wp:extent cx="3714750" cy="552450"/>
            <wp:effectExtent l="0" t="0" r="0" b="0"/>
            <wp:docPr id="1" name="Рисунок 1" descr="ТюменьЭнергоСбы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юменьЭнергоСбы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C4A">
        <w:rPr>
          <w:rFonts w:ascii="Arial" w:eastAsia="Times New Roman" w:hAnsi="Arial" w:cs="Arial"/>
          <w:noProof/>
          <w:color w:val="0096D7"/>
          <w:sz w:val="24"/>
          <w:szCs w:val="24"/>
          <w:lang w:eastAsia="ru-RU"/>
        </w:rPr>
        <w:drawing>
          <wp:inline distT="0" distB="0" distL="0" distR="0" wp14:anchorId="0CA418CD" wp14:editId="0E582706">
            <wp:extent cx="552450" cy="571500"/>
            <wp:effectExtent l="0" t="0" r="0" b="0"/>
            <wp:docPr id="2" name="Рисунок 2" descr="Восток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сток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C4A" w:rsidRPr="00E51C4A" w:rsidRDefault="00E51C4A" w:rsidP="00E51C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C4A" w:rsidRPr="00E51C4A" w:rsidRDefault="00E51C4A" w:rsidP="00E51C4A">
      <w:pPr>
        <w:spacing w:before="100" w:beforeAutospacing="1" w:after="240" w:line="240" w:lineRule="auto"/>
        <w:outlineLvl w:val="1"/>
        <w:rPr>
          <w:rFonts w:ascii="Arial" w:eastAsia="Times New Roman" w:hAnsi="Arial" w:cs="Arial"/>
          <w:color w:val="1778B5"/>
          <w:kern w:val="36"/>
          <w:sz w:val="34"/>
          <w:szCs w:val="34"/>
          <w:lang w:eastAsia="ru-RU"/>
        </w:rPr>
      </w:pPr>
      <w:r w:rsidRPr="00E51C4A">
        <w:rPr>
          <w:rFonts w:ascii="Arial" w:eastAsia="Times New Roman" w:hAnsi="Arial" w:cs="Arial"/>
          <w:color w:val="1778B5"/>
          <w:kern w:val="36"/>
          <w:sz w:val="34"/>
          <w:szCs w:val="34"/>
          <w:lang w:eastAsia="ru-RU"/>
        </w:rPr>
        <w:t xml:space="preserve">Тарифы на электрическую энергию 1 полугодие </w:t>
      </w:r>
      <w:r>
        <w:rPr>
          <w:rFonts w:ascii="Arial" w:eastAsia="Times New Roman" w:hAnsi="Arial" w:cs="Arial"/>
          <w:color w:val="1778B5"/>
          <w:kern w:val="36"/>
          <w:sz w:val="34"/>
          <w:szCs w:val="34"/>
          <w:lang w:eastAsia="ru-RU"/>
        </w:rPr>
        <w:t xml:space="preserve">2015 г. </w:t>
      </w:r>
      <w:bookmarkStart w:id="0" w:name="_GoBack"/>
      <w:bookmarkEnd w:id="0"/>
      <w:r w:rsidRPr="00E51C4A">
        <w:rPr>
          <w:rFonts w:ascii="Arial" w:eastAsia="Times New Roman" w:hAnsi="Arial" w:cs="Arial"/>
          <w:color w:val="1778B5"/>
          <w:kern w:val="36"/>
          <w:sz w:val="34"/>
          <w:szCs w:val="34"/>
          <w:lang w:eastAsia="ru-RU"/>
        </w:rPr>
        <w:t>(Решение РЭК 103 от 19.12.2014 г.)</w:t>
      </w:r>
    </w:p>
    <w:p w:rsidR="00E51C4A" w:rsidRPr="00E51C4A" w:rsidRDefault="00E51C4A" w:rsidP="00E51C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E6E6E"/>
          <w:sz w:val="20"/>
          <w:szCs w:val="20"/>
          <w:lang w:eastAsia="ru-RU"/>
        </w:rPr>
      </w:pPr>
      <w:r w:rsidRPr="00E51C4A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Тарифы на электрическую энергию поставляемую населению и приравненным к нему категориям потребителей, на территории Тюменской области, Ханты-Мансийского автономного округа – Югры и Ямало-Ненецкого автономного округа.</w:t>
      </w:r>
    </w:p>
    <w:p w:rsidR="00E51C4A" w:rsidRPr="00E51C4A" w:rsidRDefault="00E51C4A" w:rsidP="00E51C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E6E6E"/>
          <w:sz w:val="20"/>
          <w:szCs w:val="20"/>
          <w:lang w:eastAsia="ru-RU"/>
        </w:rPr>
      </w:pPr>
      <w:r w:rsidRPr="00E51C4A">
        <w:rPr>
          <w:rFonts w:ascii="Times New Roman" w:eastAsia="Times New Roman" w:hAnsi="Times New Roman" w:cs="Times New Roman"/>
          <w:i/>
          <w:iCs/>
          <w:color w:val="6E6E6E"/>
          <w:sz w:val="24"/>
          <w:szCs w:val="24"/>
          <w:lang w:eastAsia="ru-RU"/>
        </w:rPr>
        <w:t xml:space="preserve">(Установлены решением  Региональной энергетической комиссии Тюменской области, Ханты-Мансийского автономного округа, Ямало-Ненецкого автономного округа № 103 от 19 декабря 2014г.)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920"/>
        <w:gridCol w:w="1440"/>
        <w:gridCol w:w="2160"/>
      </w:tblGrid>
      <w:tr w:rsidR="00E51C4A" w:rsidRPr="00E51C4A" w:rsidTr="00E51C4A">
        <w:trPr>
          <w:trHeight w:val="600"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 </w:t>
            </w: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 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Показатель (группы потребителей    </w:t>
            </w: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       с разбивкой по ставкам и        </w:t>
            </w: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    дифференциацией по зонам суток)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 </w:t>
            </w: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(тариф) </w:t>
            </w: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 1 полугодие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1.   </w:t>
            </w:r>
          </w:p>
        </w:tc>
        <w:tc>
          <w:tcPr>
            <w:tcW w:w="8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Население (тарифы указаны с учетом НДС)                            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8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и приравненные к нему категории потребителей</w:t>
            </w: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 исключением 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указанного</w:t>
            </w:r>
            <w:proofErr w:type="gramEnd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hyperlink r:id="rId9" w:anchor="Par173" w:history="1">
              <w:r w:rsidRPr="00E51C4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пунктах 1.2</w:t>
              </w:r>
            </w:hyperlink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r:id="rId10" w:anchor="Par193" w:history="1">
              <w:r w:rsidRPr="00E51C4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1.3</w:t>
              </w:r>
            </w:hyperlink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8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Тариф, дифференцированный по двум зонам суток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           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Дневная зона      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Ночная зона        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8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Тариф, дифференцированный по трем зонам суток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           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Пиковая зона       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Полупиковая зона   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Ночная зона        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</w:t>
            </w:r>
          </w:p>
        </w:tc>
      </w:tr>
      <w:tr w:rsidR="00E51C4A" w:rsidRPr="00E51C4A" w:rsidTr="00E51C4A">
        <w:trPr>
          <w:trHeight w:val="60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1.2. </w:t>
            </w:r>
          </w:p>
        </w:tc>
        <w:tc>
          <w:tcPr>
            <w:tcW w:w="8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Население, проживающее в городских населенных пунктах в домах,     </w:t>
            </w: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оборудованных в установленном порядке стационарными электроплитами </w:t>
            </w: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 (или) электроотопительными установками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и приравненными к нему категории потребителей</w:t>
            </w: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*</w:t>
            </w: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                 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8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Тариф, дифференцированный по двум зонам суток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           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Дневная зона       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1,582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Ночная зона        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8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Тариф, дифференцированный по трем зонам суток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           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Пиковая зона       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Полупиковая зона   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Ночная зона        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1.3. </w:t>
            </w:r>
          </w:p>
        </w:tc>
        <w:tc>
          <w:tcPr>
            <w:tcW w:w="8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Население, проживающее в сельских населенных пунктах</w:t>
            </w: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 xml:space="preserve">3  </w:t>
            </w: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приравненные к нему категории потребителей</w:t>
            </w: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*</w:t>
            </w: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              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8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Тариф, дифференцированный по двум зонам суток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           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Дневная зона       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1,582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Ночная зона        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8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Тариф, дифференцированный по трем зонам суток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           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Пиковая зона       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Полупиковая зона   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Ночная зона        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</w:tr>
      <w:tr w:rsidR="00E51C4A" w:rsidRPr="00E51C4A" w:rsidTr="00E51C4A">
        <w:trPr>
          <w:trHeight w:val="40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2.   </w:t>
            </w:r>
          </w:p>
        </w:tc>
        <w:tc>
          <w:tcPr>
            <w:tcW w:w="8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Потребители, приравненные к населению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(тарифы указаны с учетом НДС):</w:t>
            </w:r>
          </w:p>
          <w:p w:rsidR="00E51C4A" w:rsidRPr="00E51C4A" w:rsidRDefault="00E51C4A" w:rsidP="00E51C4A">
            <w:pPr>
              <w:spacing w:before="100" w:beforeAutospacing="1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E51C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садоводческие, огороднические или дачные некоммерческие 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объедеинения</w:t>
            </w:r>
            <w:proofErr w:type="spellEnd"/>
            <w:r w:rsidRPr="00E51C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граждан-некоммерческие</w:t>
            </w:r>
            <w:proofErr w:type="gramEnd"/>
            <w:r w:rsidRPr="00E51C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организации, 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учреждкенные</w:t>
            </w:r>
            <w:proofErr w:type="spellEnd"/>
            <w:r w:rsidRPr="00E51C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гражданами на добровольных началах для содействия  ее членам в решении общих социально-хозяйственных задач ведения садоводства, огородничества и дачного хозяйства;</w:t>
            </w:r>
          </w:p>
          <w:p w:rsidR="00E51C4A" w:rsidRPr="00E51C4A" w:rsidRDefault="00E51C4A" w:rsidP="00E51C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-юридические лица, приобретающие электрическую энергию (мощность) в целях потребления осужденными в помещениях для их содержания при условии наличии раздельного учета электрической энергии для указанных помещений;</w:t>
            </w:r>
          </w:p>
          <w:p w:rsidR="00E51C4A" w:rsidRPr="00E51C4A" w:rsidRDefault="00E51C4A" w:rsidP="00E51C4A">
            <w:pPr>
              <w:spacing w:before="100" w:beforeAutospacing="1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-содержащиеся за счет прихожан религиозные организации;</w:t>
            </w:r>
          </w:p>
          <w:p w:rsidR="00E51C4A" w:rsidRPr="00E51C4A" w:rsidRDefault="00E51C4A" w:rsidP="00E51C4A">
            <w:pPr>
              <w:spacing w:before="100" w:beforeAutospacing="1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51C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-гарантирующие поставщики, 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энергосбытовые</w:t>
            </w:r>
            <w:proofErr w:type="spellEnd"/>
            <w:r w:rsidRPr="00E51C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энергоснабжающие</w:t>
            </w:r>
            <w:proofErr w:type="spellEnd"/>
            <w:r w:rsidRPr="00E51C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деятельности;</w:t>
            </w:r>
            <w:proofErr w:type="gramEnd"/>
          </w:p>
          <w:p w:rsidR="00E51C4A" w:rsidRPr="00E51C4A" w:rsidRDefault="00E51C4A" w:rsidP="00E51C4A">
            <w:pPr>
              <w:spacing w:before="100" w:beforeAutospacing="1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-объединения граждан, приобретающих электрическую энергию (мощность) для использования в принадлежащих им хозяйственных постройках (погреба, сараи);</w:t>
            </w:r>
          </w:p>
          <w:p w:rsidR="00E51C4A" w:rsidRPr="00E51C4A" w:rsidRDefault="00E51C4A" w:rsidP="00E51C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2.1.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</w:t>
            </w:r>
          </w:p>
        </w:tc>
        <w:tc>
          <w:tcPr>
            <w:tcW w:w="8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Тариф, дифференцированный по двум зонам суток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          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Дневная зона       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Ночная зона        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</w:t>
            </w:r>
          </w:p>
        </w:tc>
        <w:tc>
          <w:tcPr>
            <w:tcW w:w="8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Тариф, дифференцированный по трем зонам суток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           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Пиковая зона       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Полупиковая зона   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</w:tr>
      <w:tr w:rsidR="00E51C4A" w:rsidRPr="00E51C4A" w:rsidTr="00E51C4A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Ночная зона                       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1C4A" w:rsidRPr="00E51C4A" w:rsidRDefault="00E51C4A" w:rsidP="00E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</w:t>
            </w:r>
          </w:p>
        </w:tc>
      </w:tr>
    </w:tbl>
    <w:p w:rsidR="00E51C4A" w:rsidRPr="00E51C4A" w:rsidRDefault="00E51C4A" w:rsidP="00E51C4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E6E6E"/>
          <w:sz w:val="20"/>
          <w:szCs w:val="20"/>
          <w:lang w:eastAsia="ru-RU"/>
        </w:rPr>
      </w:pPr>
      <w:r w:rsidRPr="00E51C4A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 xml:space="preserve"> </w:t>
      </w:r>
      <w:r w:rsidRPr="00E51C4A">
        <w:rPr>
          <w:rFonts w:ascii="Times New Roman" w:eastAsia="Times New Roman" w:hAnsi="Times New Roman" w:cs="Times New Roman"/>
          <w:color w:val="6E6E6E"/>
          <w:sz w:val="24"/>
          <w:szCs w:val="24"/>
          <w:vertAlign w:val="superscript"/>
          <w:lang w:eastAsia="ru-RU"/>
        </w:rPr>
        <w:t xml:space="preserve">1 </w:t>
      </w:r>
      <w:r w:rsidRPr="00E51C4A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Интервалы тарифных зон суток (по месяцам календарного года) утверждаются Федеральной службой по тарифам.</w:t>
      </w:r>
      <w:r w:rsidRPr="00E51C4A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br/>
      </w:r>
      <w:r w:rsidRPr="00E51C4A">
        <w:rPr>
          <w:rFonts w:ascii="Times New Roman" w:eastAsia="Times New Roman" w:hAnsi="Times New Roman" w:cs="Times New Roman"/>
          <w:color w:val="6E6E6E"/>
          <w:sz w:val="24"/>
          <w:szCs w:val="24"/>
          <w:vertAlign w:val="superscript"/>
          <w:lang w:eastAsia="ru-RU"/>
        </w:rPr>
        <w:t xml:space="preserve"> 2 </w:t>
      </w:r>
      <w:r w:rsidRPr="00E51C4A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Тариф указан с применением понижающего коэффициента 0,7 в соответствии с решением РЭК от N 189 от 29.06.2012.</w:t>
      </w:r>
      <w:r w:rsidRPr="00E51C4A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br/>
      </w:r>
      <w:r w:rsidRPr="00E51C4A">
        <w:rPr>
          <w:rFonts w:ascii="Times New Roman" w:eastAsia="Times New Roman" w:hAnsi="Times New Roman" w:cs="Times New Roman"/>
          <w:color w:val="6E6E6E"/>
          <w:sz w:val="24"/>
          <w:szCs w:val="24"/>
          <w:vertAlign w:val="superscript"/>
          <w:lang w:eastAsia="ru-RU"/>
        </w:rPr>
        <w:t xml:space="preserve">3 </w:t>
      </w:r>
      <w:r w:rsidRPr="00E51C4A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Тариф указан с применением понижающего коэффициента 0,7 в соответствии с решением РЭК N 129 от 12.11.2013.</w:t>
      </w:r>
    </w:p>
    <w:p w:rsidR="00E51C4A" w:rsidRPr="00E51C4A" w:rsidRDefault="00E51C4A" w:rsidP="00E51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0"/>
          <w:szCs w:val="20"/>
          <w:lang w:eastAsia="ru-RU"/>
        </w:rPr>
      </w:pPr>
      <w:r w:rsidRPr="00E51C4A">
        <w:rPr>
          <w:rFonts w:ascii="Times New Roman" w:eastAsia="Times New Roman" w:hAnsi="Times New Roman" w:cs="Times New Roman"/>
          <w:color w:val="6E6E6E"/>
          <w:sz w:val="24"/>
          <w:szCs w:val="24"/>
          <w:vertAlign w:val="superscript"/>
          <w:lang w:eastAsia="ru-RU"/>
        </w:rPr>
        <w:t xml:space="preserve">4 </w:t>
      </w:r>
      <w:r w:rsidRPr="00E51C4A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Тариф указан с применением понижающего коэффициента 1 (единица)  в соответствии с решением РЭК N 102 от 19.12.2014.</w:t>
      </w:r>
    </w:p>
    <w:p w:rsidR="00E13D7F" w:rsidRDefault="00E13D7F" w:rsidP="00E51C4A">
      <w:pPr>
        <w:ind w:left="-142"/>
      </w:pPr>
    </w:p>
    <w:sectPr w:rsidR="00E13D7F" w:rsidSect="00E51C4A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4A"/>
    <w:rsid w:val="00E13D7F"/>
    <w:rsid w:val="00E5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vostok-electra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tesbyt.ru/" TargetMode="External"/><Relationship Id="rId10" Type="http://schemas.openxmlformats.org/officeDocument/2006/relationships/hyperlink" Target="http://www.tesbyt.ru/itariff/4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sbyt.ru/itariff/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806</Words>
  <Characters>4595</Characters>
  <Application>Microsoft Office Word</Application>
  <DocSecurity>0</DocSecurity>
  <Lines>38</Lines>
  <Paragraphs>10</Paragraphs>
  <ScaleCrop>false</ScaleCrop>
  <Company>MICROSOFT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2</cp:revision>
  <dcterms:created xsi:type="dcterms:W3CDTF">2015-03-12T06:36:00Z</dcterms:created>
  <dcterms:modified xsi:type="dcterms:W3CDTF">2015-03-12T06:37:00Z</dcterms:modified>
</cp:coreProperties>
</file>