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051A1E">
        <w:rPr>
          <w:rFonts w:ascii="Times New Roman" w:hAnsi="Times New Roman"/>
          <w:b/>
        </w:rPr>
        <w:t>г. Бузулук, 3 микрорайон, дом 2А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09.03.2021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</w:t>
            </w:r>
            <w:r w:rsidR="0078763D"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1B6AA2" w:rsidRDefault="000C043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6AA2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57333A" w:rsidRDefault="00051A1E" w:rsidP="008B4F3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1134</w:t>
            </w:r>
            <w:r w:rsidR="00A02681">
              <w:rPr>
                <w:rFonts w:ascii="Times New Roman" w:hAnsi="Times New Roman"/>
                <w:color w:val="000000"/>
                <w:sz w:val="20"/>
                <w:szCs w:val="20"/>
              </w:rPr>
              <w:t>27,78</w:t>
            </w:r>
          </w:p>
          <w:p w:rsidR="00181F1A" w:rsidRPr="0057333A" w:rsidRDefault="00181F1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6B25C3" w:rsidRDefault="00091255" w:rsidP="00051A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5C3">
              <w:rPr>
                <w:rFonts w:ascii="Times New Roman" w:hAnsi="Times New Roman"/>
                <w:color w:val="000000"/>
                <w:sz w:val="20"/>
                <w:szCs w:val="20"/>
              </w:rPr>
              <w:t>71355,42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6B25C3" w:rsidRDefault="00051A1E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5C3">
              <w:rPr>
                <w:rFonts w:ascii="Times New Roman" w:hAnsi="Times New Roman"/>
                <w:color w:val="000000"/>
                <w:sz w:val="20"/>
                <w:szCs w:val="20"/>
              </w:rPr>
              <w:t>23814,54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6B25C3" w:rsidRDefault="00091255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5C3">
              <w:rPr>
                <w:rFonts w:ascii="Times New Roman" w:hAnsi="Times New Roman"/>
                <w:color w:val="000000"/>
                <w:sz w:val="20"/>
                <w:szCs w:val="20"/>
              </w:rPr>
              <w:t>18257,82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81391F" w:rsidRDefault="00EE79F6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81391F" w:rsidRDefault="00EE79F6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F371A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81391F" w:rsidRDefault="00C87F29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113427,78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6B25C3" w:rsidRDefault="00051A1E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5C3">
              <w:rPr>
                <w:rFonts w:ascii="Times New Roman" w:hAnsi="Times New Roman"/>
                <w:color w:val="000000"/>
                <w:sz w:val="20"/>
                <w:szCs w:val="20"/>
              </w:rPr>
              <w:t>23814,54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7A285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57333A" w:rsidRDefault="004A485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5,40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051A1E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16537,88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09125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49D1">
              <w:rPr>
                <w:rFonts w:ascii="Times New Roman" w:hAnsi="Times New Roman"/>
                <w:color w:val="000000"/>
                <w:sz w:val="20"/>
                <w:szCs w:val="20"/>
              </w:rPr>
              <w:t>1234,83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</w:t>
            </w:r>
            <w:bookmarkStart w:id="0" w:name="_GoBack"/>
            <w:bookmarkEnd w:id="0"/>
            <w:r w:rsidRPr="00E3653A">
              <w:rPr>
                <w:rFonts w:ascii="Times New Roman" w:hAnsi="Times New Roman"/>
                <w:sz w:val="20"/>
                <w:szCs w:val="20"/>
              </w:rPr>
              <w:t>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051A1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1323,03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9249D1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9658,11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051A1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051A1E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051A1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441,01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051A1E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10143,23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051A1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4851,11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051A1E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13671,31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051A1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4233,70</w:t>
            </w:r>
          </w:p>
          <w:p w:rsidR="00181F1A" w:rsidRPr="007A2853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051A1E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9261,21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6B25C3" w:rsidRDefault="0009125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25C3">
              <w:rPr>
                <w:rFonts w:ascii="Times New Roman" w:hAnsi="Times New Roman"/>
                <w:color w:val="000000"/>
                <w:sz w:val="20"/>
                <w:szCs w:val="20"/>
              </w:rPr>
              <w:t>18257,82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A02681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Услуги, связанные с обеспечением выполнения работ 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E3653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5C3" w:rsidRDefault="006B25C3" w:rsidP="00A249B9">
      <w:pPr>
        <w:spacing w:after="0" w:line="240" w:lineRule="auto"/>
      </w:pPr>
      <w:r>
        <w:separator/>
      </w:r>
    </w:p>
  </w:endnote>
  <w:endnote w:type="continuationSeparator" w:id="0">
    <w:p w:rsidR="006B25C3" w:rsidRDefault="006B25C3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5C3" w:rsidRDefault="006B25C3" w:rsidP="00A249B9">
      <w:pPr>
        <w:spacing w:after="0" w:line="240" w:lineRule="auto"/>
      </w:pPr>
      <w:r>
        <w:separator/>
      </w:r>
    </w:p>
  </w:footnote>
  <w:footnote w:type="continuationSeparator" w:id="0">
    <w:p w:rsidR="006B25C3" w:rsidRDefault="006B25C3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1A1E"/>
    <w:rsid w:val="0005243C"/>
    <w:rsid w:val="00052782"/>
    <w:rsid w:val="00063E30"/>
    <w:rsid w:val="00070510"/>
    <w:rsid w:val="000759EC"/>
    <w:rsid w:val="000866DA"/>
    <w:rsid w:val="00091255"/>
    <w:rsid w:val="000C0431"/>
    <w:rsid w:val="000C5F90"/>
    <w:rsid w:val="000E2A5D"/>
    <w:rsid w:val="000F371A"/>
    <w:rsid w:val="001270E1"/>
    <w:rsid w:val="00130354"/>
    <w:rsid w:val="00135A63"/>
    <w:rsid w:val="00135E54"/>
    <w:rsid w:val="0016161B"/>
    <w:rsid w:val="001657BC"/>
    <w:rsid w:val="00166868"/>
    <w:rsid w:val="00181F1A"/>
    <w:rsid w:val="00182179"/>
    <w:rsid w:val="001B6AA2"/>
    <w:rsid w:val="001C197C"/>
    <w:rsid w:val="001D05FD"/>
    <w:rsid w:val="001D1A6D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0167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482E"/>
    <w:rsid w:val="004151E6"/>
    <w:rsid w:val="00424E81"/>
    <w:rsid w:val="00446BE0"/>
    <w:rsid w:val="00450D6D"/>
    <w:rsid w:val="00476645"/>
    <w:rsid w:val="0047680C"/>
    <w:rsid w:val="00476A15"/>
    <w:rsid w:val="00482707"/>
    <w:rsid w:val="004A485B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25C3"/>
    <w:rsid w:val="006B48BA"/>
    <w:rsid w:val="006C0D10"/>
    <w:rsid w:val="006E1C39"/>
    <w:rsid w:val="0070313A"/>
    <w:rsid w:val="007139C8"/>
    <w:rsid w:val="00727482"/>
    <w:rsid w:val="00733DE4"/>
    <w:rsid w:val="00736AC0"/>
    <w:rsid w:val="0077056C"/>
    <w:rsid w:val="0077270A"/>
    <w:rsid w:val="0078763D"/>
    <w:rsid w:val="007A2853"/>
    <w:rsid w:val="0081391F"/>
    <w:rsid w:val="00830156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9063EE"/>
    <w:rsid w:val="00922EC1"/>
    <w:rsid w:val="009249D1"/>
    <w:rsid w:val="009454A0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2681"/>
    <w:rsid w:val="00A05B76"/>
    <w:rsid w:val="00A23B30"/>
    <w:rsid w:val="00A249B9"/>
    <w:rsid w:val="00A30F0F"/>
    <w:rsid w:val="00A74FD0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572CD"/>
    <w:rsid w:val="00C7653D"/>
    <w:rsid w:val="00C80780"/>
    <w:rsid w:val="00C87F29"/>
    <w:rsid w:val="00C92C9D"/>
    <w:rsid w:val="00C97D97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28C3"/>
    <w:rsid w:val="00F904E0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29BFD-E0BA-437B-B57A-AFD22C9E1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</Pages>
  <Words>3179</Words>
  <Characters>18126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17</cp:revision>
  <cp:lastPrinted>2021-03-18T06:59:00Z</cp:lastPrinted>
  <dcterms:created xsi:type="dcterms:W3CDTF">2021-01-27T09:57:00Z</dcterms:created>
  <dcterms:modified xsi:type="dcterms:W3CDTF">2021-03-18T08:02:00Z</dcterms:modified>
</cp:coreProperties>
</file>