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Сведения о тарифах на жилищные и коммунальные услуги в 202</w:t>
      </w:r>
      <w:r>
        <w:rPr>
          <w:rFonts w:ascii="Times New Roman" w:hAnsi="Times New Roman"/>
          <w:b w:val="1"/>
          <w:sz w:val="36"/>
        </w:rPr>
        <w:t>6</w:t>
      </w:r>
      <w:r>
        <w:rPr>
          <w:rFonts w:ascii="Times New Roman" w:hAnsi="Times New Roman"/>
          <w:b w:val="1"/>
          <w:sz w:val="36"/>
        </w:rPr>
        <w:t xml:space="preserve"> году</w:t>
      </w:r>
    </w:p>
    <w:tbl>
      <w:tblPr>
        <w:tblStyle w:val="Style_1"/>
        <w:tblW w:type="auto" w:w="0"/>
        <w:tblLayout w:type="fixed"/>
      </w:tblPr>
      <w:tblGrid>
        <w:gridCol w:w="503"/>
        <w:gridCol w:w="2078"/>
        <w:gridCol w:w="1794"/>
        <w:gridCol w:w="1794"/>
        <w:gridCol w:w="1573"/>
        <w:gridCol w:w="1970"/>
      </w:tblGrid>
      <w:tr>
        <w:tc>
          <w:tcPr>
            <w:tcW w:type="dxa" w:w="503"/>
            <w:vMerge w:val="restart"/>
          </w:tcPr>
          <w:p w14:paraId="02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№ </w:t>
            </w:r>
            <w:r>
              <w:rPr>
                <w:rFonts w:ascii="Times New Roman" w:hAnsi="Times New Roman"/>
                <w:b w:val="1"/>
                <w:sz w:val="18"/>
              </w:rPr>
              <w:t>п</w:t>
            </w:r>
            <w:r>
              <w:rPr>
                <w:rFonts w:ascii="Times New Roman" w:hAnsi="Times New Roman"/>
                <w:b w:val="1"/>
                <w:sz w:val="18"/>
              </w:rPr>
              <w:t>/п</w:t>
            </w:r>
          </w:p>
        </w:tc>
        <w:tc>
          <w:tcPr>
            <w:tcW w:type="dxa" w:w="2078"/>
            <w:vMerge w:val="restart"/>
          </w:tcPr>
          <w:p w14:paraId="03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Наименование услуги</w:t>
            </w:r>
          </w:p>
        </w:tc>
        <w:tc>
          <w:tcPr>
            <w:tcW w:type="dxa" w:w="3588"/>
            <w:gridSpan w:val="2"/>
          </w:tcPr>
          <w:p w14:paraId="04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Тариф</w:t>
            </w:r>
          </w:p>
        </w:tc>
        <w:tc>
          <w:tcPr>
            <w:tcW w:type="dxa" w:w="1573"/>
            <w:vMerge w:val="restart"/>
          </w:tcPr>
          <w:p w14:paraId="05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Наименование </w:t>
            </w:r>
            <w:r>
              <w:rPr>
                <w:rFonts w:ascii="Times New Roman" w:hAnsi="Times New Roman"/>
                <w:b w:val="1"/>
                <w:sz w:val="18"/>
              </w:rPr>
              <w:t xml:space="preserve">организации, </w:t>
            </w:r>
            <w:r>
              <w:rPr>
                <w:rFonts w:ascii="Times New Roman" w:hAnsi="Times New Roman"/>
                <w:b w:val="1"/>
                <w:sz w:val="18"/>
              </w:rPr>
              <w:t>установивше</w:t>
            </w:r>
            <w:r>
              <w:rPr>
                <w:rFonts w:ascii="Times New Roman" w:hAnsi="Times New Roman"/>
                <w:b w:val="1"/>
                <w:sz w:val="18"/>
              </w:rPr>
              <w:t xml:space="preserve">й </w:t>
            </w:r>
            <w:r>
              <w:rPr>
                <w:rFonts w:ascii="Times New Roman" w:hAnsi="Times New Roman"/>
                <w:b w:val="1"/>
                <w:sz w:val="18"/>
              </w:rPr>
              <w:t xml:space="preserve">тариф </w:t>
            </w:r>
          </w:p>
        </w:tc>
        <w:tc>
          <w:tcPr>
            <w:tcW w:type="dxa" w:w="1970"/>
            <w:vMerge w:val="restart"/>
          </w:tcPr>
          <w:p w14:paraId="06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Поставщик услуги</w:t>
            </w:r>
          </w:p>
        </w:tc>
      </w:tr>
      <w:tr>
        <w:tc>
          <w:tcPr>
            <w:tcW w:type="dxa" w:w="503"/>
            <w:gridSpan w:val="1"/>
            <w:vMerge w:val="continue"/>
          </w:tcPr>
          <w:p/>
        </w:tc>
        <w:tc>
          <w:tcPr>
            <w:tcW w:type="dxa" w:w="2078"/>
            <w:gridSpan w:val="1"/>
            <w:vMerge w:val="continue"/>
          </w:tcPr>
          <w:p/>
        </w:tc>
        <w:tc>
          <w:tcPr>
            <w:tcW w:type="dxa" w:w="1794"/>
          </w:tcPr>
          <w:p w14:paraId="07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01.01-30.09 2026</w:t>
            </w:r>
          </w:p>
        </w:tc>
        <w:tc>
          <w:tcPr>
            <w:tcW w:type="dxa" w:w="1794"/>
          </w:tcPr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01.10.-31.12.2026</w:t>
            </w:r>
          </w:p>
        </w:tc>
        <w:tc>
          <w:tcPr>
            <w:tcW w:type="dxa" w:w="1573"/>
            <w:gridSpan w:val="1"/>
            <w:vMerge w:val="continue"/>
          </w:tcPr>
          <w:p/>
        </w:tc>
        <w:tc>
          <w:tcPr>
            <w:tcW w:type="dxa" w:w="1970"/>
            <w:gridSpan w:val="1"/>
            <w:vMerge w:val="continue"/>
          </w:tcPr>
          <w:p/>
        </w:tc>
      </w:tr>
      <w:tr>
        <w:tc>
          <w:tcPr>
            <w:tcW w:type="dxa" w:w="503"/>
          </w:tcPr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078"/>
          </w:tcPr>
          <w:p w14:paraId="0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ремонт жилья</w:t>
            </w:r>
          </w:p>
        </w:tc>
        <w:tc>
          <w:tcPr>
            <w:tcW w:type="dxa" w:w="1794"/>
          </w:tcPr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18,23</w:t>
            </w:r>
            <w:r>
              <w:rPr>
                <w:rFonts w:ascii="Times New Roman" w:hAnsi="Times New Roman"/>
                <w:sz w:val="24"/>
              </w:rPr>
              <w:t xml:space="preserve"> руб./м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794"/>
          </w:tcPr>
          <w:p w14:paraId="0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20,03 руб./м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73"/>
          </w:tcPr>
          <w:p w14:paraId="0D000000">
            <w:pPr>
              <w:widowControl w:val="0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Постановление Администрации </w:t>
            </w:r>
            <w:r>
              <w:rPr>
                <w:rFonts w:ascii="Times New Roman" w:hAnsi="Times New Roman"/>
                <w:sz w:val="18"/>
              </w:rPr>
              <w:t>Уренского</w:t>
            </w:r>
            <w:r>
              <w:rPr>
                <w:rFonts w:ascii="Times New Roman" w:hAnsi="Times New Roman"/>
                <w:sz w:val="18"/>
              </w:rPr>
              <w:t xml:space="preserve"> МО № 2183 от 03.12.2025</w:t>
            </w:r>
          </w:p>
        </w:tc>
        <w:tc>
          <w:tcPr>
            <w:tcW w:type="dxa" w:w="1970"/>
          </w:tcPr>
          <w:p w14:paraId="0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«ЖЭУ»</w:t>
            </w:r>
          </w:p>
          <w:p w14:paraId="0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2-47-87</w:t>
            </w:r>
          </w:p>
        </w:tc>
      </w:tr>
      <w:tr>
        <w:tc>
          <w:tcPr>
            <w:tcW w:type="dxa" w:w="503"/>
          </w:tcPr>
          <w:p w14:paraId="10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2</w:t>
            </w:r>
          </w:p>
        </w:tc>
        <w:tc>
          <w:tcPr>
            <w:tcW w:type="dxa" w:w="2078"/>
          </w:tcPr>
          <w:p w14:paraId="1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Водоснабжение</w:t>
            </w:r>
          </w:p>
        </w:tc>
        <w:tc>
          <w:tcPr>
            <w:tcW w:type="dxa" w:w="1794"/>
          </w:tcPr>
          <w:p w14:paraId="12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43,06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руб./м3</w:t>
            </w:r>
          </w:p>
        </w:tc>
        <w:tc>
          <w:tcPr>
            <w:tcW w:type="dxa" w:w="1794"/>
          </w:tcPr>
          <w:p w14:paraId="13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47,31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руб./м3</w:t>
            </w:r>
          </w:p>
        </w:tc>
        <w:tc>
          <w:tcPr>
            <w:tcW w:type="dxa" w:w="1573"/>
          </w:tcPr>
          <w:p w14:paraId="14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Решение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РСТ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 57/83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от 11.12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.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2025</w:t>
            </w:r>
          </w:p>
        </w:tc>
        <w:tc>
          <w:tcPr>
            <w:tcW w:type="dxa" w:w="1970"/>
          </w:tcPr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МУП «</w:t>
            </w:r>
            <w:r>
              <w:rPr>
                <w:rFonts w:ascii="Times New Roman" w:hAnsi="Times New Roman"/>
                <w:i w:val="0"/>
                <w:sz w:val="24"/>
              </w:rPr>
              <w:t>Уренские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тепловые сети» 2-09-28</w:t>
            </w:r>
          </w:p>
        </w:tc>
      </w:tr>
      <w:tr>
        <w:tc>
          <w:tcPr>
            <w:tcW w:type="dxa" w:w="503"/>
          </w:tcPr>
          <w:p w14:paraId="16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3</w:t>
            </w:r>
          </w:p>
        </w:tc>
        <w:tc>
          <w:tcPr>
            <w:tcW w:type="dxa" w:w="2078"/>
          </w:tcPr>
          <w:p w14:paraId="17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Водоотведение</w:t>
            </w:r>
          </w:p>
        </w:tc>
        <w:tc>
          <w:tcPr>
            <w:tcW w:type="dxa" w:w="1794"/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67,42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руб./м3</w:t>
            </w:r>
          </w:p>
        </w:tc>
        <w:tc>
          <w:tcPr>
            <w:tcW w:type="dxa" w:w="1794"/>
          </w:tcPr>
          <w:p w14:paraId="19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74,04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руб./м3</w:t>
            </w:r>
          </w:p>
        </w:tc>
        <w:tc>
          <w:tcPr>
            <w:tcW w:type="dxa" w:w="1573"/>
          </w:tcPr>
          <w:p w14:paraId="1A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C0504D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Решение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РСТ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 57/83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от 11.12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.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2025</w:t>
            </w:r>
          </w:p>
        </w:tc>
        <w:tc>
          <w:tcPr>
            <w:tcW w:type="dxa" w:w="1970"/>
          </w:tcPr>
          <w:p w14:paraId="1B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МУП «</w:t>
            </w:r>
            <w:r>
              <w:rPr>
                <w:rFonts w:ascii="Times New Roman" w:hAnsi="Times New Roman"/>
                <w:i w:val="0"/>
                <w:sz w:val="24"/>
              </w:rPr>
              <w:t>Уренские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тепловые сети» 2-16-87 </w:t>
            </w:r>
          </w:p>
        </w:tc>
      </w:tr>
      <w:tr>
        <w:tc>
          <w:tcPr>
            <w:tcW w:type="dxa" w:w="503"/>
          </w:tcPr>
          <w:p w14:paraId="1C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4</w:t>
            </w:r>
          </w:p>
        </w:tc>
        <w:tc>
          <w:tcPr>
            <w:tcW w:type="dxa" w:w="2078"/>
          </w:tcPr>
          <w:p w14:paraId="1D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Газоснабжение (природный газ)</w:t>
            </w:r>
          </w:p>
        </w:tc>
        <w:tc>
          <w:tcPr>
            <w:tcW w:type="dxa" w:w="1794"/>
          </w:tcPr>
          <w:p w14:paraId="1E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8,43914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руб./м3</w:t>
            </w:r>
          </w:p>
        </w:tc>
        <w:tc>
          <w:tcPr>
            <w:tcW w:type="dxa" w:w="1794"/>
          </w:tcPr>
          <w:p w14:paraId="1F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8,43914</w:t>
            </w:r>
          </w:p>
          <w:p w14:paraId="20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руб./м3</w:t>
            </w:r>
          </w:p>
        </w:tc>
        <w:tc>
          <w:tcPr>
            <w:tcW w:type="dxa" w:w="1573"/>
          </w:tcPr>
          <w:p w14:paraId="21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C0504D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>Решение РСТ НО 62/6 от 19.12.2025</w:t>
            </w:r>
            <w:bookmarkStart w:id="1" w:name="_GoBack"/>
            <w:bookmarkEnd w:id="1"/>
          </w:p>
        </w:tc>
        <w:tc>
          <w:tcPr>
            <w:tcW w:type="dxa" w:w="1970"/>
          </w:tcPr>
          <w:p w14:paraId="22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АО "Газпром </w:t>
            </w:r>
            <w:r>
              <w:rPr>
                <w:rFonts w:ascii="Times New Roman" w:hAnsi="Times New Roman"/>
                <w:i w:val="0"/>
                <w:sz w:val="24"/>
              </w:rPr>
              <w:t>межрегионгаз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Нижний Новгород"</w:t>
            </w:r>
          </w:p>
          <w:p w14:paraId="23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2-35-23, 3-03-39</w:t>
            </w:r>
          </w:p>
        </w:tc>
      </w:tr>
      <w:tr>
        <w:tc>
          <w:tcPr>
            <w:tcW w:type="dxa" w:w="503"/>
          </w:tcPr>
          <w:p w14:paraId="24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5</w:t>
            </w:r>
          </w:p>
        </w:tc>
        <w:tc>
          <w:tcPr>
            <w:tcW w:type="dxa" w:w="2078"/>
          </w:tcPr>
          <w:p w14:paraId="2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ТКО</w:t>
            </w:r>
          </w:p>
        </w:tc>
        <w:tc>
          <w:tcPr>
            <w:tcW w:type="dxa" w:w="1794"/>
          </w:tcPr>
          <w:p w14:paraId="26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664,74 руб./м3</w:t>
            </w:r>
          </w:p>
        </w:tc>
        <w:tc>
          <w:tcPr>
            <w:tcW w:type="dxa" w:w="1794"/>
          </w:tcPr>
          <w:p w14:paraId="27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664,74 руб./м3</w:t>
            </w:r>
          </w:p>
        </w:tc>
        <w:tc>
          <w:tcPr>
            <w:tcW w:type="dxa" w:w="1573"/>
          </w:tcPr>
          <w:p w14:paraId="28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Решение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РСТ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</w:t>
            </w:r>
          </w:p>
          <w:p w14:paraId="29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-1"/>
                <w:sz w:val="18"/>
              </w:rPr>
              <w:t>№ 73/9 от 20.12.2024 г.</w:t>
            </w:r>
          </w:p>
        </w:tc>
        <w:tc>
          <w:tcPr>
            <w:tcW w:type="dxa" w:w="1970"/>
          </w:tcPr>
          <w:p w14:paraId="2A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АО «Ситиматик-НН» </w:t>
            </w:r>
          </w:p>
          <w:p w14:paraId="2B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2"/>
              </w:rPr>
            </w:pPr>
            <w:r>
              <w:rPr>
                <w:rFonts w:ascii="Times New Roman" w:hAnsi="Times New Roman"/>
                <w:i w:val="0"/>
                <w:sz w:val="22"/>
              </w:rPr>
              <w:t>8-831-261-3</w:t>
            </w:r>
            <w:r>
              <w:rPr>
                <w:rFonts w:ascii="Times New Roman" w:hAnsi="Times New Roman"/>
                <w:i w:val="0"/>
                <w:sz w:val="22"/>
              </w:rPr>
              <w:t>5-50</w:t>
            </w:r>
          </w:p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2"/>
              </w:rPr>
            </w:pPr>
            <w:r>
              <w:rPr>
                <w:rStyle w:val="Style_2_ch"/>
                <w:rFonts w:ascii="Times New Roman" w:hAnsi="Times New Roman"/>
                <w:i w:val="0"/>
                <w:sz w:val="22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i w:val="0"/>
                <w:sz w:val="22"/>
              </w:rPr>
              <w:instrText>HYPERLINK "mailto:logistica-nn@citimatic.ru"</w:instrText>
            </w:r>
            <w:r>
              <w:rPr>
                <w:rStyle w:val="Style_2_ch"/>
                <w:rFonts w:ascii="Times New Roman" w:hAnsi="Times New Roman"/>
                <w:i w:val="0"/>
                <w:sz w:val="22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i w:val="0"/>
                <w:sz w:val="22"/>
              </w:rPr>
              <w:t>logistica-nn@citimatic.ru</w:t>
            </w:r>
            <w:r>
              <w:rPr>
                <w:rStyle w:val="Style_2_ch"/>
                <w:rFonts w:ascii="Times New Roman" w:hAnsi="Times New Roman"/>
                <w:i w:val="0"/>
                <w:sz w:val="22"/>
              </w:rPr>
              <w:fldChar w:fldCharType="end"/>
            </w:r>
            <w:r>
              <w:rPr>
                <w:rFonts w:ascii="Times New Roman" w:hAnsi="Times New Roman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503"/>
          </w:tcPr>
          <w:p w14:paraId="2D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2078"/>
          </w:tcPr>
          <w:p w14:paraId="2E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Капитальный ремонт</w:t>
            </w:r>
          </w:p>
        </w:tc>
        <w:tc>
          <w:tcPr>
            <w:tcW w:type="dxa" w:w="1794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i w:val="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8,78/9,55/9,72/10,49 руб./м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 </w:t>
            </w:r>
            <w:r>
              <w:rPr>
                <w:rFonts w:ascii="Times New Roman" w:hAnsi="Times New Roman"/>
                <w:i w:val="0"/>
                <w:color w:val="000000"/>
                <w:sz w:val="16"/>
              </w:rPr>
              <w:t>(в зависимости от типа дома и инженерных сетей)</w:t>
            </w:r>
          </w:p>
        </w:tc>
        <w:tc>
          <w:tcPr>
            <w:tcW w:type="dxa" w:w="1794"/>
          </w:tcPr>
          <w:p w14:paraId="30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9,13/9,93/10,11/10,91 руб./м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2 </w:t>
            </w:r>
            <w:r>
              <w:rPr>
                <w:rFonts w:ascii="Times New Roman" w:hAnsi="Times New Roman"/>
                <w:i w:val="0"/>
                <w:color w:val="000000"/>
                <w:sz w:val="16"/>
              </w:rPr>
              <w:t>(в зависимости от типа дома и инженерных сетей)</w:t>
            </w:r>
          </w:p>
        </w:tc>
        <w:tc>
          <w:tcPr>
            <w:tcW w:type="dxa" w:w="1573"/>
          </w:tcPr>
          <w:p w14:paraId="31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Постановление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Правительства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 от 14.11.2025 № 693</w:t>
            </w:r>
          </w:p>
        </w:tc>
        <w:tc>
          <w:tcPr>
            <w:tcW w:type="dxa" w:w="1970"/>
          </w:tcPr>
          <w:p w14:paraId="32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Фонд капитального ремонта МКД</w:t>
            </w:r>
          </w:p>
          <w:p w14:paraId="33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8-831-422-22-24</w:t>
            </w:r>
          </w:p>
        </w:tc>
      </w:tr>
      <w:tr>
        <w:tc>
          <w:tcPr>
            <w:tcW w:type="dxa" w:w="503"/>
          </w:tcPr>
          <w:p w14:paraId="34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7</w:t>
            </w:r>
          </w:p>
        </w:tc>
        <w:tc>
          <w:tcPr>
            <w:tcW w:type="dxa" w:w="2078"/>
          </w:tcPr>
          <w:p w14:paraId="35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Электроэнергия </w:t>
            </w:r>
            <w:r>
              <w:rPr>
                <w:rFonts w:ascii="Times New Roman" w:hAnsi="Times New Roman"/>
                <w:i w:val="0"/>
                <w:sz w:val="24"/>
              </w:rPr>
              <w:t>соц.норма</w:t>
            </w:r>
            <w:r>
              <w:rPr>
                <w:rFonts w:ascii="Times New Roman" w:hAnsi="Times New Roman"/>
                <w:i w:val="0"/>
                <w:sz w:val="24"/>
              </w:rPr>
              <w:t xml:space="preserve"> / сверх </w:t>
            </w:r>
            <w:r>
              <w:rPr>
                <w:rFonts w:ascii="Times New Roman" w:hAnsi="Times New Roman"/>
                <w:i w:val="0"/>
                <w:sz w:val="24"/>
              </w:rPr>
              <w:t>соц.нормы</w:t>
            </w:r>
          </w:p>
          <w:p w14:paraId="36000000">
            <w:pPr>
              <w:rPr>
                <w:rFonts w:ascii="Times New Roman" w:hAnsi="Times New Roman"/>
                <w:i w:val="0"/>
                <w:sz w:val="24"/>
              </w:rPr>
            </w:pPr>
          </w:p>
          <w:p w14:paraId="37000000">
            <w:pPr>
              <w:rPr>
                <w:rFonts w:ascii="Times New Roman" w:hAnsi="Times New Roman"/>
                <w:i w:val="0"/>
                <w:sz w:val="24"/>
              </w:rPr>
            </w:pPr>
          </w:p>
        </w:tc>
        <w:tc>
          <w:tcPr>
            <w:tcW w:type="dxa" w:w="1794"/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Однотарифный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счетчик </w:t>
            </w:r>
          </w:p>
          <w:p w14:paraId="3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5,56 / 8,99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руб./кВт</w:t>
            </w:r>
          </w:p>
          <w:p w14:paraId="3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C0504D"/>
                <w:sz w:val="24"/>
              </w:rPr>
            </w:pPr>
          </w:p>
          <w:p w14:paraId="3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Двухтарифный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счетчик</w:t>
            </w:r>
          </w:p>
          <w:p w14:paraId="3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5,99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/ 10,34 руб./кВт (день)</w:t>
            </w:r>
          </w:p>
          <w:p w14:paraId="3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3,15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/ 5,40 руб./кВт (ночь)</w:t>
            </w:r>
          </w:p>
        </w:tc>
        <w:tc>
          <w:tcPr>
            <w:tcW w:type="dxa" w:w="1794"/>
          </w:tcPr>
          <w:p w14:paraId="3E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Однотарифный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счетчик </w:t>
            </w:r>
          </w:p>
          <w:p w14:paraId="3F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6,19 / 10,00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руб./кВт</w:t>
            </w:r>
          </w:p>
          <w:p w14:paraId="40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C0504D"/>
                <w:sz w:val="24"/>
              </w:rPr>
            </w:pPr>
          </w:p>
          <w:p w14:paraId="41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Двухтарифный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счетчик</w:t>
            </w:r>
          </w:p>
          <w:p w14:paraId="42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6,66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/ 11,50 руб./кВт (день)</w:t>
            </w:r>
          </w:p>
          <w:p w14:paraId="43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3,60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/ 6,02 руб./кВт (ночь)</w:t>
            </w:r>
          </w:p>
        </w:tc>
        <w:tc>
          <w:tcPr>
            <w:tcW w:type="dxa" w:w="1573"/>
          </w:tcPr>
          <w:p w14:paraId="44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5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Решение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РСТ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 63/17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от 23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.12.2025</w:t>
            </w:r>
          </w:p>
          <w:p w14:paraId="46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7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8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9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A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B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C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  <w:p w14:paraId="4D000000">
            <w:pPr>
              <w:rPr>
                <w:rFonts w:ascii="Times New Roman" w:hAnsi="Times New Roman"/>
                <w:i w:val="0"/>
                <w:color w:val="000000"/>
                <w:sz w:val="18"/>
              </w:rPr>
            </w:pPr>
          </w:p>
        </w:tc>
        <w:tc>
          <w:tcPr>
            <w:tcW w:type="dxa" w:w="1970"/>
          </w:tcPr>
          <w:p w14:paraId="4E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</w:p>
          <w:p w14:paraId="4F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ПАО «ТНС </w:t>
            </w:r>
            <w:r>
              <w:rPr>
                <w:rFonts w:ascii="Times New Roman" w:hAnsi="Times New Roman"/>
                <w:i w:val="0"/>
                <w:sz w:val="24"/>
              </w:rPr>
              <w:t>Энерго</w:t>
            </w:r>
            <w:r>
              <w:rPr>
                <w:rFonts w:ascii="Times New Roman" w:hAnsi="Times New Roman"/>
                <w:i w:val="0"/>
                <w:sz w:val="24"/>
              </w:rPr>
              <w:t xml:space="preserve"> НН»</w:t>
            </w:r>
          </w:p>
          <w:p w14:paraId="50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2-11-59 </w:t>
            </w:r>
          </w:p>
          <w:p w14:paraId="51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</w:p>
          <w:p w14:paraId="52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i w:val="0"/>
                <w:sz w:val="20"/>
              </w:rPr>
            </w:pPr>
            <w:r>
              <w:rPr>
                <w:rFonts w:ascii="Times New Roman" w:hAnsi="Times New Roman"/>
                <w:b w:val="1"/>
                <w:i w:val="0"/>
                <w:sz w:val="24"/>
              </w:rPr>
              <w:t xml:space="preserve">2-89-25 </w:t>
            </w:r>
            <w:r>
              <w:rPr>
                <w:rFonts w:ascii="Times New Roman" w:hAnsi="Times New Roman"/>
                <w:b w:val="1"/>
                <w:i w:val="0"/>
                <w:sz w:val="20"/>
              </w:rPr>
              <w:t>(по отключениям э/э)</w:t>
            </w:r>
          </w:p>
          <w:p w14:paraId="53000000">
            <w:pPr>
              <w:rPr>
                <w:rFonts w:ascii="Times New Roman" w:hAnsi="Times New Roman"/>
                <w:i w:val="0"/>
                <w:sz w:val="24"/>
              </w:rPr>
            </w:pPr>
          </w:p>
          <w:p w14:paraId="54000000">
            <w:pPr>
              <w:rPr>
                <w:rFonts w:ascii="Times New Roman" w:hAnsi="Times New Roman"/>
                <w:i w:val="0"/>
                <w:sz w:val="24"/>
              </w:rPr>
            </w:pPr>
          </w:p>
          <w:p w14:paraId="55000000">
            <w:pPr>
              <w:rPr>
                <w:rFonts w:ascii="Times New Roman" w:hAnsi="Times New Roman"/>
                <w:i w:val="0"/>
                <w:sz w:val="24"/>
              </w:rPr>
            </w:pPr>
          </w:p>
          <w:p w14:paraId="56000000">
            <w:pPr>
              <w:rPr>
                <w:rFonts w:ascii="Times New Roman" w:hAnsi="Times New Roman"/>
                <w:i w:val="0"/>
                <w:sz w:val="24"/>
              </w:rPr>
            </w:pPr>
          </w:p>
        </w:tc>
      </w:tr>
      <w:tr>
        <w:tc>
          <w:tcPr>
            <w:tcW w:type="dxa" w:w="503"/>
          </w:tcPr>
          <w:p w14:paraId="57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8</w:t>
            </w:r>
          </w:p>
        </w:tc>
        <w:tc>
          <w:tcPr>
            <w:tcW w:type="dxa" w:w="2078"/>
          </w:tcPr>
          <w:p w14:paraId="58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Отопление централизованное</w:t>
            </w:r>
          </w:p>
        </w:tc>
        <w:tc>
          <w:tcPr>
            <w:tcW w:type="dxa" w:w="1794"/>
          </w:tcPr>
          <w:p w14:paraId="5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5 060,24</w:t>
            </w:r>
          </w:p>
          <w:p w14:paraId="5A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руб./Гкал</w:t>
            </w:r>
          </w:p>
        </w:tc>
        <w:tc>
          <w:tcPr>
            <w:tcW w:type="dxa" w:w="1794"/>
          </w:tcPr>
          <w:p w14:paraId="5B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5 561,20</w:t>
            </w:r>
          </w:p>
          <w:p w14:paraId="5C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руб./Гкал</w:t>
            </w:r>
          </w:p>
        </w:tc>
        <w:tc>
          <w:tcPr>
            <w:tcW w:type="dxa" w:w="1573"/>
          </w:tcPr>
          <w:p w14:paraId="5D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Решение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РСТ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 60/43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от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19.12.2025</w:t>
            </w:r>
          </w:p>
        </w:tc>
        <w:tc>
          <w:tcPr>
            <w:tcW w:type="dxa" w:w="1970"/>
          </w:tcPr>
          <w:p w14:paraId="5E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ООО «Гранит»</w:t>
            </w:r>
          </w:p>
          <w:p w14:paraId="5F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2-34-55</w:t>
            </w:r>
          </w:p>
        </w:tc>
      </w:tr>
      <w:tr>
        <w:tc>
          <w:tcPr>
            <w:tcW w:type="dxa" w:w="503"/>
          </w:tcPr>
          <w:p w14:paraId="60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9</w:t>
            </w:r>
          </w:p>
        </w:tc>
        <w:tc>
          <w:tcPr>
            <w:tcW w:type="dxa" w:w="2078"/>
          </w:tcPr>
          <w:p w14:paraId="61000000">
            <w:pPr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Газ (</w:t>
            </w:r>
            <w:r>
              <w:rPr>
                <w:rFonts w:ascii="Times New Roman" w:hAnsi="Times New Roman"/>
                <w:i w:val="0"/>
                <w:sz w:val="24"/>
              </w:rPr>
              <w:t>ёмкостной</w:t>
            </w:r>
            <w:r>
              <w:rPr>
                <w:rFonts w:ascii="Times New Roman" w:hAnsi="Times New Roman"/>
                <w:i w:val="0"/>
                <w:sz w:val="24"/>
              </w:rPr>
              <w:t>)</w:t>
            </w:r>
          </w:p>
        </w:tc>
        <w:tc>
          <w:tcPr>
            <w:tcW w:type="dxa" w:w="1794"/>
          </w:tcPr>
          <w:p w14:paraId="6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53,39 руб./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кг</w:t>
            </w:r>
          </w:p>
          <w:p w14:paraId="6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>(норматив)</w:t>
            </w:r>
          </w:p>
          <w:p w14:paraId="64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121,95 руб./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кг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(при наличии счетчика)</w:t>
            </w:r>
          </w:p>
        </w:tc>
        <w:tc>
          <w:tcPr>
            <w:tcW w:type="dxa" w:w="1794"/>
          </w:tcPr>
          <w:p w14:paraId="65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58,51 руб./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кг</w:t>
            </w:r>
          </w:p>
          <w:p w14:paraId="66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>(норматив)</w:t>
            </w:r>
          </w:p>
          <w:p w14:paraId="67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133,66 руб./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кг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(при наличии счетчика)</w:t>
            </w:r>
          </w:p>
        </w:tc>
        <w:tc>
          <w:tcPr>
            <w:tcW w:type="dxa" w:w="1573"/>
          </w:tcPr>
          <w:p w14:paraId="68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color w:val="000000"/>
                <w:sz w:val="18"/>
              </w:rPr>
            </w:pP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Решение 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>РСТ</w:t>
            </w:r>
            <w:r>
              <w:rPr>
                <w:rFonts w:ascii="Times New Roman" w:hAnsi="Times New Roman"/>
                <w:i w:val="0"/>
                <w:color w:val="000000"/>
                <w:sz w:val="18"/>
              </w:rPr>
              <w:t xml:space="preserve"> НО 62/5 от 19.12.2025</w:t>
            </w:r>
          </w:p>
        </w:tc>
        <w:tc>
          <w:tcPr>
            <w:tcW w:type="dxa" w:w="1970"/>
          </w:tcPr>
          <w:p w14:paraId="69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ООО «ГЭС-НН»</w:t>
            </w:r>
          </w:p>
          <w:p w14:paraId="6A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2-22-80</w:t>
            </w:r>
          </w:p>
        </w:tc>
      </w:tr>
    </w:tbl>
    <w:p w14:paraId="6B000000">
      <w:pPr>
        <w:widowControl w:val="0"/>
        <w:ind/>
        <w:jc w:val="center"/>
        <w:rPr>
          <w:rFonts w:ascii="Times New Roman" w:hAnsi="Times New Roman"/>
          <w:sz w:val="14"/>
        </w:rPr>
      </w:pPr>
    </w:p>
    <w:p w14:paraId="6C000000">
      <w:pPr>
        <w:widowControl w:val="0"/>
        <w:spacing w:line="36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Рекомендуемая п</w:t>
      </w:r>
      <w:r>
        <w:rPr>
          <w:rFonts w:ascii="Times New Roman" w:hAnsi="Times New Roman"/>
          <w:b w:val="1"/>
          <w:sz w:val="24"/>
        </w:rPr>
        <w:t xml:space="preserve">ередача показаний приборов учета с 23 по 25 число по телефонам </w:t>
      </w:r>
      <w:r>
        <w:rPr>
          <w:rFonts w:ascii="Times New Roman" w:hAnsi="Times New Roman"/>
          <w:b w:val="1"/>
          <w:sz w:val="24"/>
        </w:rPr>
        <w:t>ресурсоснабжающих</w:t>
      </w:r>
      <w:r>
        <w:rPr>
          <w:rFonts w:ascii="Times New Roman" w:hAnsi="Times New Roman"/>
          <w:b w:val="1"/>
          <w:sz w:val="24"/>
        </w:rPr>
        <w:t xml:space="preserve"> организаций, либо через сайты: </w:t>
      </w:r>
      <w:r>
        <w:rPr>
          <w:rStyle w:val="Style_2_ch"/>
          <w:rFonts w:ascii="Times New Roman" w:hAnsi="Times New Roman"/>
          <w:b w:val="1"/>
          <w:sz w:val="24"/>
        </w:rPr>
        <w:fldChar w:fldCharType="begin"/>
      </w:r>
      <w:r>
        <w:rPr>
          <w:rStyle w:val="Style_2_ch"/>
          <w:rFonts w:ascii="Times New Roman" w:hAnsi="Times New Roman"/>
          <w:b w:val="1"/>
          <w:sz w:val="24"/>
        </w:rPr>
        <w:instrText>HYPERLINK "https://kvc-nn.ru/meter/"</w:instrText>
      </w:r>
      <w:r>
        <w:rPr>
          <w:rStyle w:val="Style_2_ch"/>
          <w:rFonts w:ascii="Times New Roman" w:hAnsi="Times New Roman"/>
          <w:b w:val="1"/>
          <w:sz w:val="24"/>
        </w:rPr>
        <w:fldChar w:fldCharType="separate"/>
      </w:r>
      <w:r>
        <w:rPr>
          <w:rStyle w:val="Style_2_ch"/>
          <w:rFonts w:ascii="Times New Roman" w:hAnsi="Times New Roman"/>
          <w:b w:val="1"/>
          <w:sz w:val="24"/>
        </w:rPr>
        <w:t>https://kvc-nn.ru/meter/</w:t>
      </w:r>
      <w:r>
        <w:rPr>
          <w:rStyle w:val="Style_2_ch"/>
          <w:rFonts w:ascii="Times New Roman" w:hAnsi="Times New Roman"/>
          <w:b w:val="1"/>
          <w:sz w:val="24"/>
        </w:rPr>
        <w:fldChar w:fldCharType="end"/>
      </w:r>
      <w:r>
        <w:rPr>
          <w:rFonts w:ascii="Times New Roman" w:hAnsi="Times New Roman"/>
          <w:b w:val="1"/>
          <w:sz w:val="24"/>
        </w:rPr>
        <w:t xml:space="preserve"> (вода, э/э) </w:t>
      </w:r>
      <w:r>
        <w:rPr>
          <w:rStyle w:val="Style_2_ch"/>
          <w:rFonts w:ascii="Times New Roman" w:hAnsi="Times New Roman"/>
          <w:b w:val="1"/>
          <w:sz w:val="24"/>
        </w:rPr>
        <w:fldChar w:fldCharType="begin"/>
      </w:r>
      <w:r>
        <w:rPr>
          <w:rStyle w:val="Style_2_ch"/>
          <w:rFonts w:ascii="Times New Roman" w:hAnsi="Times New Roman"/>
          <w:b w:val="1"/>
          <w:sz w:val="24"/>
        </w:rPr>
        <w:instrText>HYPERLINK "https://www.gas-nn.ru/"</w:instrText>
      </w:r>
      <w:r>
        <w:rPr>
          <w:rStyle w:val="Style_2_ch"/>
          <w:rFonts w:ascii="Times New Roman" w:hAnsi="Times New Roman"/>
          <w:b w:val="1"/>
          <w:sz w:val="24"/>
        </w:rPr>
        <w:fldChar w:fldCharType="separate"/>
      </w:r>
      <w:r>
        <w:rPr>
          <w:rStyle w:val="Style_2_ch"/>
          <w:rFonts w:ascii="Times New Roman" w:hAnsi="Times New Roman"/>
          <w:b w:val="1"/>
          <w:sz w:val="24"/>
        </w:rPr>
        <w:t>https://www.gas-nn.ru/</w:t>
      </w:r>
      <w:r>
        <w:rPr>
          <w:rStyle w:val="Style_2_ch"/>
          <w:rFonts w:ascii="Times New Roman" w:hAnsi="Times New Roman"/>
          <w:b w:val="1"/>
          <w:sz w:val="24"/>
        </w:rPr>
        <w:fldChar w:fldCharType="end"/>
      </w:r>
      <w:r>
        <w:rPr>
          <w:rFonts w:ascii="Times New Roman" w:hAnsi="Times New Roman"/>
          <w:b w:val="1"/>
          <w:sz w:val="24"/>
        </w:rPr>
        <w:t xml:space="preserve"> (газ)</w:t>
      </w:r>
    </w:p>
    <w:sectPr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7"/>
    <w:next w:val="Style_3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3"/>
    <w:link w:val="Style_11_ch"/>
    <w:pPr>
      <w:widowControl w:val="0"/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toc 3"/>
    <w:next w:val="Style_3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2" w:type="paragraph">
    <w:name w:val="Hyperlink"/>
    <w:basedOn w:val="Style_7"/>
    <w:link w:val="Style_2_ch"/>
    <w:rPr>
      <w:color w:themeColor="hyperlink" w:val="0000FF"/>
      <w:u w:val="single"/>
    </w:rPr>
  </w:style>
  <w:style w:styleId="Style_2_ch" w:type="character">
    <w:name w:val="Hyperlink"/>
    <w:basedOn w:val="Style_7_ch"/>
    <w:link w:val="Style_2"/>
    <w:rPr>
      <w:color w:themeColor="hyperlink"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1" w:type="table">
    <w:name w:val="Table Grid"/>
    <w:basedOn w:val="Style_25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2024-07-10T05:13:18Z</dcterms:created>
  <dcterms:modified xsi:type="dcterms:W3CDTF">2026-02-13T10:09:11Z</dcterms:modified>
</cp:coreProperties>
</file>