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Форма 6-Ж</w:t>
      </w:r>
    </w:p>
    <w:p w14:paraId="02000000">
      <w:pPr>
        <w:widowControl w:val="0"/>
        <w:ind/>
        <w:jc w:val="right"/>
        <w:rPr>
          <w:rFonts w:ascii="Arial" w:hAnsi="Arial"/>
          <w:b w:val="1"/>
          <w:sz w:val="18"/>
        </w:rPr>
      </w:pPr>
      <w:r>
        <w:rPr>
          <w:rFonts w:ascii="Arial" w:hAnsi="Arial"/>
          <w:b w:val="1"/>
          <w:sz w:val="18"/>
        </w:rPr>
        <w:t>Содержание и ремонт жилищного фонда</w:t>
      </w:r>
    </w:p>
    <w:p w14:paraId="03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Утверждена Постановлением </w:t>
      </w:r>
    </w:p>
    <w:p w14:paraId="04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Госстроя России 23.02.99 г. № 9</w:t>
      </w:r>
    </w:p>
    <w:p w14:paraId="05000000">
      <w:pPr>
        <w:widowControl w:val="0"/>
        <w:ind/>
        <w:jc w:val="right"/>
        <w:rPr>
          <w:rFonts w:ascii="Arial" w:hAnsi="Arial"/>
        </w:rPr>
      </w:pPr>
    </w:p>
    <w:p w14:paraId="0600000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Организация: </w:t>
      </w:r>
      <w:r>
        <w:rPr>
          <w:rFonts w:ascii="Arial" w:hAnsi="Arial"/>
          <w:u w:val="single"/>
        </w:rPr>
        <w:t>ООО «ЖЭУ»</w:t>
      </w:r>
    </w:p>
    <w:p w14:paraId="07000000">
      <w:pPr>
        <w:rPr>
          <w:rFonts w:ascii="Arial" w:hAnsi="Arial"/>
          <w:u w:val="single"/>
        </w:rPr>
      </w:pPr>
    </w:p>
    <w:p w14:paraId="08000000">
      <w:pPr>
        <w:widowControl w:val="0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КАЛЬКУЛЯЦИЯ СЕБЕСТОИМОСТИ</w:t>
      </w:r>
    </w:p>
    <w:p w14:paraId="09000000">
      <w:pPr>
        <w:widowControl w:val="0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СОДЕРЖАНИЯ И РЕМОНТА ЖИЛИЩНОГО ФОНДА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08"/>
        <w:gridCol w:w="1786"/>
        <w:gridCol w:w="1656"/>
        <w:gridCol w:w="1656"/>
      </w:tblGrid>
      <w:tr>
        <w:tc>
          <w:tcPr>
            <w:tcW w:type="dxa" w:w="46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Показатели</w:t>
            </w:r>
          </w:p>
          <w:p w14:paraId="0B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Код строк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Планируемые на янв-июнь 20</w:t>
            </w:r>
            <w:r>
              <w:rPr>
                <w:rFonts w:ascii="Arial" w:hAnsi="Arial"/>
                <w:sz w:val="22"/>
              </w:rPr>
              <w:t>25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г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Стоимость на </w:t>
            </w:r>
            <w:r>
              <w:rPr>
                <w:rFonts w:ascii="Arial" w:hAnsi="Arial"/>
                <w:sz w:val="22"/>
              </w:rPr>
              <w:t>1 м2</w:t>
            </w:r>
            <w:r>
              <w:rPr>
                <w:rFonts w:ascii="Arial" w:hAnsi="Arial"/>
                <w:sz w:val="22"/>
              </w:rPr>
              <w:t xml:space="preserve"> в месяц</w:t>
            </w:r>
          </w:p>
        </w:tc>
      </w:tr>
      <w:tr>
        <w:trPr>
          <w:trHeight w:hRule="atLeast" w:val="70"/>
        </w:trPr>
        <w:tc>
          <w:tcPr>
            <w:tcW w:type="dxa" w:w="46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00000">
            <w:pPr>
              <w:widowControl w:val="0"/>
              <w:ind/>
              <w:jc w:val="both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1. НАТУРАЛЬНЫЕ ПОКАЗАТЕЛИ</w:t>
            </w:r>
          </w:p>
          <w:p w14:paraId="10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Средне эксплуатируемая приведенная общая площадь жилых помещений (жилья)</w:t>
            </w:r>
          </w:p>
          <w:p w14:paraId="11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Средне эксплуатируемая площадь нежилых помещений</w:t>
            </w:r>
          </w:p>
          <w:p w14:paraId="12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2. ПОЛНАЯ СЕБЕСТОИМОСТЬ СОДЕРЖАНИЯ И РЕМОНТА ЖИЛИЩНОГО ФОНДА (ТЫС. РУБ.)</w:t>
            </w:r>
          </w:p>
          <w:p w14:paraId="13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Ремонт конструктивных элементов жилых зданий, всего:</w:t>
            </w:r>
          </w:p>
          <w:p w14:paraId="14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 т. ч. оплата труда рабочих, выполняющих ремонт конструктивных элементов жилых зданий</w:t>
            </w:r>
          </w:p>
          <w:p w14:paraId="15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Отчисления на соц. нужды </w:t>
            </w:r>
          </w:p>
          <w:p w14:paraId="16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17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 прямые расходы по ремонту конструктивных элементов жилых зданий</w:t>
            </w:r>
          </w:p>
          <w:p w14:paraId="18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 в т.ч. противопожарные мероприятия</w:t>
            </w:r>
            <w:r>
              <w:rPr>
                <w:rFonts w:ascii="Arial" w:hAnsi="Arial"/>
                <w:sz w:val="20"/>
              </w:rPr>
              <w:t>)</w:t>
            </w:r>
          </w:p>
          <w:p w14:paraId="19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Ремонт и обслуживание внутридомового инженерного оборудования, всего:</w:t>
            </w:r>
          </w:p>
          <w:p w14:paraId="1A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в т. ч. оплата труда рабочих, выполняющих ремонт и обслуживание внутридомового оборудования </w:t>
            </w:r>
          </w:p>
          <w:p w14:paraId="1B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Отчисления на соц. нужды</w:t>
            </w:r>
          </w:p>
          <w:p w14:paraId="1C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1D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 прямые расходы по ремонту и обслужив</w:t>
            </w:r>
            <w:r>
              <w:rPr>
                <w:rFonts w:ascii="Arial" w:hAnsi="Arial"/>
                <w:sz w:val="20"/>
              </w:rPr>
              <w:t>анию внутридомового инженерного оборудования</w:t>
            </w:r>
          </w:p>
          <w:p w14:paraId="1E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Благоустройство и обеспечение санитарного состояния жилых зданий и придомовых территорий</w:t>
            </w:r>
          </w:p>
          <w:p w14:paraId="1F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 т. ч. оплата труда рабочих, занятых благоустройством и обслуживанием</w:t>
            </w:r>
          </w:p>
          <w:p w14:paraId="20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Отчисления на соц. нужды</w:t>
            </w:r>
          </w:p>
          <w:p w14:paraId="21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22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</w:t>
            </w:r>
            <w:r>
              <w:rPr>
                <w:rFonts w:ascii="Arial" w:hAnsi="Arial"/>
                <w:sz w:val="20"/>
              </w:rPr>
              <w:t xml:space="preserve"> затраты</w:t>
            </w:r>
          </w:p>
          <w:p w14:paraId="23000000">
            <w:pPr>
              <w:rPr>
                <w:rFonts w:ascii="Arial" w:hAnsi="Arial"/>
                <w:sz w:val="20"/>
              </w:rPr>
            </w:pPr>
          </w:p>
          <w:p w14:paraId="24000000">
            <w:pPr>
              <w:rPr>
                <w:rFonts w:ascii="Arial" w:hAnsi="Arial"/>
                <w:b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sz w:val="20"/>
                <w:u w:val="single"/>
              </w:rPr>
              <w:t>Общеэксплуатационные расходы</w:t>
            </w:r>
          </w:p>
          <w:p w14:paraId="25000000">
            <w:pPr>
              <w:rPr>
                <w:rFonts w:ascii="Arial" w:hAnsi="Arial"/>
                <w:sz w:val="20"/>
              </w:rPr>
            </w:pPr>
          </w:p>
          <w:p w14:paraId="26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ИТОГО расходов по эксплуатации</w:t>
            </w:r>
          </w:p>
          <w:p w14:paraId="27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(ст. 0300+0400+0500+0600)</w:t>
            </w:r>
          </w:p>
          <w:p w14:paraId="28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Внеэксплуатационные расходы</w:t>
            </w:r>
          </w:p>
          <w:p w14:paraId="29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Всего расходов по эксплуатации</w:t>
            </w:r>
          </w:p>
          <w:p w14:paraId="2A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 xml:space="preserve">(ст. </w:t>
            </w:r>
            <w:r>
              <w:rPr>
                <w:rFonts w:ascii="Arial" w:hAnsi="Arial"/>
                <w:b w:val="1"/>
                <w:sz w:val="20"/>
              </w:rPr>
              <w:t>07</w:t>
            </w:r>
            <w:r>
              <w:rPr>
                <w:rFonts w:ascii="Arial" w:hAnsi="Arial"/>
                <w:b w:val="1"/>
                <w:sz w:val="20"/>
              </w:rPr>
              <w:t>00+</w:t>
            </w:r>
            <w:r>
              <w:rPr>
                <w:rFonts w:ascii="Arial" w:hAnsi="Arial"/>
                <w:b w:val="1"/>
                <w:sz w:val="20"/>
              </w:rPr>
              <w:t>08</w:t>
            </w:r>
            <w:r>
              <w:rPr>
                <w:rFonts w:ascii="Arial" w:hAnsi="Arial"/>
                <w:b w:val="1"/>
                <w:sz w:val="20"/>
              </w:rPr>
              <w:t>00)</w:t>
            </w:r>
          </w:p>
          <w:p w14:paraId="2B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Себестоимость содержания и ремонта </w:t>
            </w:r>
            <w:r>
              <w:rPr>
                <w:rFonts w:ascii="Arial" w:hAnsi="Arial"/>
                <w:sz w:val="20"/>
              </w:rPr>
              <w:t>1 м2</w:t>
            </w:r>
            <w:r>
              <w:rPr>
                <w:rFonts w:ascii="Arial" w:hAnsi="Arial"/>
                <w:sz w:val="20"/>
              </w:rPr>
              <w:t xml:space="preserve"> общей площади жилья</w:t>
            </w:r>
          </w:p>
          <w:p w14:paraId="2C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Тариф для населения</w:t>
            </w: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0100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</w:t>
            </w:r>
            <w:r>
              <w:rPr>
                <w:rFonts w:ascii="Arial" w:hAnsi="Arial"/>
                <w:sz w:val="20"/>
              </w:rPr>
              <w:t> 417,84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0200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519,61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3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4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2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43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806,37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45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3,13</w:t>
            </w:r>
          </w:p>
        </w:tc>
      </w:tr>
      <w:tr>
        <w:trPr>
          <w:trHeight w:hRule="atLeast" w:val="61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4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4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561,63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4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2,18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167,46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0,65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38,64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0,15</w:t>
            </w:r>
          </w:p>
        </w:tc>
      </w:tr>
      <w:tr>
        <w:trPr>
          <w:trHeight w:hRule="atLeast" w:val="57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5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0340</w:t>
            </w:r>
          </w:p>
          <w:p w14:paraId="5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5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38,64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5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0,15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5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B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5C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1 120,67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5E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4,35</w:t>
            </w:r>
          </w:p>
        </w:tc>
      </w:tr>
      <w:tr>
        <w:trPr>
          <w:trHeight w:hRule="atLeast" w:val="53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rPr>
                <w:rFonts w:ascii="Arial" w:hAnsi="Arial"/>
                <w:sz w:val="20"/>
              </w:rPr>
            </w:pPr>
          </w:p>
          <w:p w14:paraId="6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6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811,52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6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3,15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244,75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0,95</w:t>
            </w:r>
          </w:p>
        </w:tc>
      </w:tr>
      <w:tr>
        <w:trPr>
          <w:trHeight w:hRule="atLeast" w:val="39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38,64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0,15</w:t>
            </w:r>
          </w:p>
        </w:tc>
      </w:tr>
      <w:tr>
        <w:trPr>
          <w:trHeight w:hRule="atLeast" w:val="63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00000">
            <w:pPr>
              <w:rPr>
                <w:rFonts w:ascii="Arial" w:hAnsi="Arial"/>
                <w:sz w:val="20"/>
              </w:rPr>
            </w:pPr>
          </w:p>
          <w:p w14:paraId="6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0440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6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25,76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7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</w:t>
            </w:r>
            <w:r>
              <w:rPr>
                <w:rFonts w:ascii="Arial" w:hAnsi="Arial"/>
                <w:sz w:val="20"/>
              </w:rPr>
              <w:t>10</w:t>
            </w:r>
          </w:p>
        </w:tc>
      </w:tr>
      <w:tr>
        <w:trPr>
          <w:trHeight w:hRule="atLeast" w:val="619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72000000">
            <w:pPr>
              <w:widowControl w:val="0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20"/>
              </w:rPr>
              <w:t>0500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74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1 143,85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76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4,44</w:t>
            </w:r>
          </w:p>
        </w:tc>
      </w:tr>
      <w:tr>
        <w:trPr>
          <w:trHeight w:hRule="atLeast" w:val="415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7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7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839,86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7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3,26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252,47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0,98</w:t>
            </w:r>
          </w:p>
        </w:tc>
      </w:tr>
      <w:tr>
        <w:trPr>
          <w:trHeight w:hRule="atLeast" w:val="242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25,76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0,10</w:t>
            </w:r>
          </w:p>
        </w:tc>
      </w:tr>
      <w:tr>
        <w:trPr>
          <w:trHeight w:hRule="atLeast" w:val="33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0540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25,76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0,10</w:t>
            </w:r>
          </w:p>
        </w:tc>
      </w:tr>
      <w:tr>
        <w:trPr>
          <w:trHeight w:hRule="atLeast" w:val="378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6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1 125,82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8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4,37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8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07</w:t>
            </w:r>
            <w:r>
              <w:rPr>
                <w:rFonts w:ascii="Arial" w:hAnsi="Arial"/>
                <w:sz w:val="20"/>
              </w:rPr>
              <w:t>00</w:t>
            </w:r>
          </w:p>
          <w:p w14:paraId="8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8D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4 196,71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8F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16,29</w:t>
            </w:r>
          </w:p>
        </w:tc>
      </w:tr>
      <w:tr>
        <w:trPr>
          <w:trHeight w:hRule="atLeast" w:val="15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08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00000">
            <w:pPr>
              <w:rPr>
                <w:rFonts w:ascii="Arial" w:hAnsi="Arial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09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4 196,71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5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16,29</w:t>
            </w:r>
          </w:p>
        </w:tc>
      </w:tr>
      <w:tr>
        <w:trPr>
          <w:trHeight w:hRule="atLeast" w:val="558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16,29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rPr>
          <w:trHeight w:hRule="atLeast" w:val="256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16,29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00000">
            <w:pPr>
              <w:rPr>
                <w:rFonts w:ascii="Arial" w:hAnsi="Arial"/>
                <w:sz w:val="20"/>
              </w:rPr>
            </w:pPr>
          </w:p>
        </w:tc>
      </w:tr>
    </w:tbl>
    <w:p w14:paraId="9C000000">
      <w:pPr>
        <w:rPr>
          <w:rFonts w:ascii="Arial" w:hAnsi="Arial"/>
          <w:b w:val="1"/>
        </w:rPr>
      </w:pPr>
    </w:p>
    <w:p w14:paraId="9D00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Директор ООО «ЖЭУ»   ___________ Белякова А. Г.</w:t>
      </w:r>
    </w:p>
    <w:p w14:paraId="9E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Форма 6-Ж</w:t>
      </w:r>
    </w:p>
    <w:p w14:paraId="9F000000">
      <w:pPr>
        <w:widowControl w:val="0"/>
        <w:ind/>
        <w:jc w:val="right"/>
        <w:rPr>
          <w:rFonts w:ascii="Arial" w:hAnsi="Arial"/>
          <w:b w:val="1"/>
          <w:sz w:val="18"/>
        </w:rPr>
      </w:pPr>
      <w:r>
        <w:rPr>
          <w:rFonts w:ascii="Arial" w:hAnsi="Arial"/>
          <w:b w:val="1"/>
          <w:sz w:val="18"/>
        </w:rPr>
        <w:t>Содержание и ремонт жилищного фонда</w:t>
      </w:r>
    </w:p>
    <w:p w14:paraId="A0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Утверждена Постановлением </w:t>
      </w:r>
    </w:p>
    <w:p w14:paraId="A1000000">
      <w:pPr>
        <w:widowControl w:val="0"/>
        <w:ind/>
        <w:jc w:val="right"/>
        <w:rPr>
          <w:rFonts w:ascii="Arial" w:hAnsi="Arial"/>
          <w:sz w:val="18"/>
        </w:rPr>
      </w:pPr>
      <w:r>
        <w:rPr>
          <w:rFonts w:ascii="Arial" w:hAnsi="Arial"/>
          <w:sz w:val="18"/>
        </w:rPr>
        <w:t>Госстроя России 23.02.99 г. № 9</w:t>
      </w:r>
    </w:p>
    <w:p w14:paraId="A2000000">
      <w:pPr>
        <w:widowControl w:val="0"/>
        <w:ind/>
        <w:jc w:val="right"/>
        <w:rPr>
          <w:rFonts w:ascii="Arial" w:hAnsi="Arial"/>
        </w:rPr>
      </w:pPr>
    </w:p>
    <w:p w14:paraId="A3000000">
      <w:pPr>
        <w:rPr>
          <w:rFonts w:ascii="Arial" w:hAnsi="Arial"/>
          <w:u w:val="single"/>
        </w:rPr>
      </w:pPr>
      <w:r>
        <w:rPr>
          <w:rFonts w:ascii="Arial" w:hAnsi="Arial"/>
        </w:rPr>
        <w:t xml:space="preserve">Организация: </w:t>
      </w:r>
      <w:r>
        <w:rPr>
          <w:rFonts w:ascii="Arial" w:hAnsi="Arial"/>
          <w:u w:val="single"/>
        </w:rPr>
        <w:t>ООО «ЖЭУ»</w:t>
      </w:r>
    </w:p>
    <w:p w14:paraId="A4000000">
      <w:pPr>
        <w:rPr>
          <w:rFonts w:ascii="Arial" w:hAnsi="Arial"/>
          <w:u w:val="single"/>
        </w:rPr>
      </w:pPr>
    </w:p>
    <w:p w14:paraId="A5000000">
      <w:pPr>
        <w:widowControl w:val="0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КАЛЬКУЛЯЦИЯ СЕБЕСТОИМОСТИ</w:t>
      </w:r>
    </w:p>
    <w:p w14:paraId="A6000000">
      <w:pPr>
        <w:widowControl w:val="0"/>
        <w:ind/>
        <w:jc w:val="center"/>
        <w:rPr>
          <w:rFonts w:ascii="Arial" w:hAnsi="Arial"/>
          <w:b w:val="1"/>
        </w:rPr>
      </w:pPr>
      <w:r>
        <w:rPr>
          <w:rFonts w:ascii="Arial" w:hAnsi="Arial"/>
          <w:b w:val="1"/>
        </w:rPr>
        <w:t>СОДЕРЖАНИЯ И РЕМОНТА ЖИЛИЩНОГО ФОНДА</w:t>
      </w:r>
    </w:p>
    <w:tbl>
      <w:tblPr>
        <w:tblStyle w:val="Style_1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08"/>
        <w:gridCol w:w="1786"/>
        <w:gridCol w:w="1656"/>
        <w:gridCol w:w="1656"/>
      </w:tblGrid>
      <w:tr>
        <w:tc>
          <w:tcPr>
            <w:tcW w:type="dxa" w:w="460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Показатели</w:t>
            </w:r>
          </w:p>
          <w:p w14:paraId="A8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Код строк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Планируемые на июль-дек 20</w:t>
            </w:r>
            <w:r>
              <w:rPr>
                <w:rFonts w:ascii="Arial" w:hAnsi="Arial"/>
                <w:sz w:val="22"/>
              </w:rPr>
              <w:t>25</w:t>
            </w:r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>г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00000">
            <w:pPr>
              <w:widowControl w:val="0"/>
              <w:ind/>
              <w:jc w:val="center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Стоимость на </w:t>
            </w:r>
            <w:r>
              <w:rPr>
                <w:rFonts w:ascii="Arial" w:hAnsi="Arial"/>
                <w:sz w:val="22"/>
              </w:rPr>
              <w:t>1 м2</w:t>
            </w:r>
            <w:r>
              <w:rPr>
                <w:rFonts w:ascii="Arial" w:hAnsi="Arial"/>
                <w:sz w:val="22"/>
              </w:rPr>
              <w:t xml:space="preserve"> в месяц</w:t>
            </w:r>
          </w:p>
        </w:tc>
      </w:tr>
      <w:tr>
        <w:trPr>
          <w:trHeight w:hRule="atLeast" w:val="70"/>
        </w:trPr>
        <w:tc>
          <w:tcPr>
            <w:tcW w:type="dxa" w:w="460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00000">
            <w:pPr>
              <w:widowControl w:val="0"/>
              <w:ind/>
              <w:jc w:val="both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1. НАТУРАЛЬНЫЕ ПОКАЗАТЕЛИ</w:t>
            </w:r>
          </w:p>
          <w:p w14:paraId="AD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Средне эксплуатируемая приведенная общая площадь жилых помещений (жилья)</w:t>
            </w:r>
          </w:p>
          <w:p w14:paraId="AE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Средне эксплуатируемая площадь нежилых помещений</w:t>
            </w:r>
          </w:p>
          <w:p w14:paraId="AF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2. ПОЛНАЯ СЕБЕСТОИМОСТЬ СОДЕРЖАНИЯ И РЕМОНТА ЖИЛИЩНОГО ФОНДА (ТЫС. РУБ.)</w:t>
            </w:r>
          </w:p>
          <w:p w14:paraId="B0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Ремонт конструктивных элементов жилых зданий, всего:</w:t>
            </w:r>
          </w:p>
          <w:p w14:paraId="B1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 т. ч. оплата труда рабочих, выполняющих ремонт конструктивных элементов жилых зданий</w:t>
            </w:r>
          </w:p>
          <w:p w14:paraId="B2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Отчисления на соц. нужды </w:t>
            </w:r>
          </w:p>
          <w:p w14:paraId="B3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B4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 прямые расходы по ремонту конструктивных элементов жилых зданий</w:t>
            </w:r>
          </w:p>
          <w:p w14:paraId="B5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( в т.ч. противопожарные мероприятия</w:t>
            </w:r>
            <w:r>
              <w:rPr>
                <w:rFonts w:ascii="Arial" w:hAnsi="Arial"/>
                <w:sz w:val="20"/>
              </w:rPr>
              <w:t>)</w:t>
            </w:r>
          </w:p>
          <w:p w14:paraId="B6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Ремонт и обслуживание внутридомового инженерного оборудования, всего:</w:t>
            </w:r>
          </w:p>
          <w:p w14:paraId="B7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в т. ч. оплата труда рабочих, выполняющих ремонт и обслуживание внутридомового оборудования </w:t>
            </w:r>
          </w:p>
          <w:p w14:paraId="B8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Отчисления на соц. нужды</w:t>
            </w:r>
          </w:p>
          <w:p w14:paraId="B9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BA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 прямые расходы по ремонту и обслужив</w:t>
            </w:r>
            <w:r>
              <w:rPr>
                <w:rFonts w:ascii="Arial" w:hAnsi="Arial"/>
                <w:sz w:val="20"/>
              </w:rPr>
              <w:t>анию внутридомового инженерного оборудования</w:t>
            </w:r>
          </w:p>
          <w:p w14:paraId="BB000000">
            <w:pPr>
              <w:rPr>
                <w:rFonts w:ascii="Arial" w:hAnsi="Arial"/>
                <w:b w:val="1"/>
                <w:i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i w:val="1"/>
                <w:sz w:val="20"/>
                <w:u w:val="single"/>
              </w:rPr>
              <w:t>Благоустройство и обеспечение санитарного состояния жилых зданий и придомовых территорий</w:t>
            </w:r>
          </w:p>
          <w:p w14:paraId="BC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 т. ч. оплата труда рабочих, занятых благоустройством и обслуживанием</w:t>
            </w:r>
          </w:p>
          <w:p w14:paraId="BD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Отчисления на соц. нужды</w:t>
            </w:r>
          </w:p>
          <w:p w14:paraId="BE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Материалы</w:t>
            </w:r>
          </w:p>
          <w:p w14:paraId="BF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Прочие</w:t>
            </w:r>
            <w:r>
              <w:rPr>
                <w:rFonts w:ascii="Arial" w:hAnsi="Arial"/>
                <w:sz w:val="20"/>
              </w:rPr>
              <w:t xml:space="preserve"> затраты</w:t>
            </w:r>
          </w:p>
          <w:p w14:paraId="C0000000">
            <w:pPr>
              <w:rPr>
                <w:rFonts w:ascii="Arial" w:hAnsi="Arial"/>
                <w:sz w:val="20"/>
              </w:rPr>
            </w:pPr>
          </w:p>
          <w:p w14:paraId="C1000000">
            <w:pPr>
              <w:rPr>
                <w:rFonts w:ascii="Arial" w:hAnsi="Arial"/>
                <w:b w:val="1"/>
                <w:sz w:val="20"/>
                <w:u w:val="single"/>
              </w:rPr>
            </w:pPr>
            <w:r>
              <w:rPr>
                <w:rFonts w:ascii="Arial" w:hAnsi="Arial"/>
                <w:b w:val="1"/>
                <w:sz w:val="20"/>
                <w:u w:val="single"/>
              </w:rPr>
              <w:t>Общеэксплуатационные расходы</w:t>
            </w:r>
          </w:p>
          <w:p w14:paraId="C2000000">
            <w:pPr>
              <w:rPr>
                <w:rFonts w:ascii="Arial" w:hAnsi="Arial"/>
                <w:sz w:val="20"/>
              </w:rPr>
            </w:pPr>
          </w:p>
          <w:p w14:paraId="C3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ИТОГО расходов по эксплуатации</w:t>
            </w:r>
          </w:p>
          <w:p w14:paraId="C4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(ст. 0300+0400+0500+0600)</w:t>
            </w:r>
          </w:p>
          <w:p w14:paraId="C5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Внеэксплуатационные расходы</w:t>
            </w:r>
          </w:p>
          <w:p w14:paraId="C6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Всего расходов по эксплуатации</w:t>
            </w:r>
          </w:p>
          <w:p w14:paraId="C7000000">
            <w:pPr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 xml:space="preserve">(ст. </w:t>
            </w:r>
            <w:r>
              <w:rPr>
                <w:rFonts w:ascii="Arial" w:hAnsi="Arial"/>
                <w:b w:val="1"/>
                <w:sz w:val="20"/>
              </w:rPr>
              <w:t>07</w:t>
            </w:r>
            <w:r>
              <w:rPr>
                <w:rFonts w:ascii="Arial" w:hAnsi="Arial"/>
                <w:b w:val="1"/>
                <w:sz w:val="20"/>
              </w:rPr>
              <w:t>00+</w:t>
            </w:r>
            <w:r>
              <w:rPr>
                <w:rFonts w:ascii="Arial" w:hAnsi="Arial"/>
                <w:b w:val="1"/>
                <w:sz w:val="20"/>
              </w:rPr>
              <w:t>08</w:t>
            </w:r>
            <w:r>
              <w:rPr>
                <w:rFonts w:ascii="Arial" w:hAnsi="Arial"/>
                <w:b w:val="1"/>
                <w:sz w:val="20"/>
              </w:rPr>
              <w:t>00)</w:t>
            </w:r>
          </w:p>
          <w:p w14:paraId="C8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Себестоимость содержания и ремонта </w:t>
            </w:r>
            <w:r>
              <w:rPr>
                <w:rFonts w:ascii="Arial" w:hAnsi="Arial"/>
                <w:sz w:val="20"/>
              </w:rPr>
              <w:t>1 м2</w:t>
            </w:r>
            <w:r>
              <w:rPr>
                <w:rFonts w:ascii="Arial" w:hAnsi="Arial"/>
                <w:sz w:val="20"/>
              </w:rPr>
              <w:t xml:space="preserve"> общей площади жилья</w:t>
            </w:r>
          </w:p>
          <w:p w14:paraId="C9000000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Тариф для населения</w:t>
            </w:r>
          </w:p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C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0100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</w:t>
            </w:r>
            <w:r>
              <w:rPr>
                <w:rFonts w:ascii="Arial" w:hAnsi="Arial"/>
                <w:sz w:val="20"/>
              </w:rPr>
              <w:t> 425,16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0200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519,61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D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E0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901,84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E2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3,50</w:t>
            </w:r>
          </w:p>
        </w:tc>
      </w:tr>
      <w:tr>
        <w:trPr>
          <w:trHeight w:hRule="atLeast" w:val="61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E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E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628,71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E8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2,44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157,18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0,61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72,15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0,28</w:t>
            </w:r>
          </w:p>
        </w:tc>
      </w:tr>
      <w:tr>
        <w:trPr>
          <w:trHeight w:hRule="atLeast" w:val="57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F0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0340</w:t>
            </w:r>
          </w:p>
          <w:p w14:paraId="F1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F3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43,80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4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F5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0,17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F7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F9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1 254,85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FB00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4,87</w:t>
            </w:r>
          </w:p>
        </w:tc>
      </w:tr>
      <w:tr>
        <w:trPr>
          <w:trHeight w:hRule="atLeast" w:val="53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rPr>
                <w:rFonts w:ascii="Arial" w:hAnsi="Arial"/>
                <w:sz w:val="20"/>
              </w:rPr>
            </w:pPr>
          </w:p>
          <w:p w14:paraId="FD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FF00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907,00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01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3,52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252,52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0,98</w:t>
            </w:r>
          </w:p>
        </w:tc>
      </w:tr>
      <w:tr>
        <w:trPr>
          <w:trHeight w:hRule="atLeast" w:val="39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66,99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0,26</w:t>
            </w:r>
          </w:p>
        </w:tc>
      </w:tr>
      <w:tr>
        <w:trPr>
          <w:trHeight w:hRule="atLeast" w:val="637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rPr>
                <w:rFonts w:ascii="Arial" w:hAnsi="Arial"/>
                <w:sz w:val="20"/>
              </w:rPr>
            </w:pPr>
          </w:p>
          <w:p w14:paraId="09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0440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0B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28,34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0D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0,11</w:t>
            </w:r>
          </w:p>
        </w:tc>
      </w:tr>
      <w:tr>
        <w:trPr>
          <w:trHeight w:hRule="atLeast" w:val="619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0F010000">
            <w:pPr>
              <w:widowControl w:val="0"/>
              <w:ind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20"/>
              </w:rPr>
              <w:t>0500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11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1 280,61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13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4,97</w:t>
            </w:r>
          </w:p>
        </w:tc>
      </w:tr>
      <w:tr>
        <w:trPr>
          <w:trHeight w:hRule="atLeast" w:val="415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15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0510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17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940,49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19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3,65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A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0520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262,82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1,02</w:t>
            </w:r>
          </w:p>
        </w:tc>
      </w:tr>
      <w:tr>
        <w:trPr>
          <w:trHeight w:hRule="atLeast" w:val="242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48,96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0,19</w:t>
            </w:r>
          </w:p>
        </w:tc>
      </w:tr>
      <w:tr>
        <w:trPr>
          <w:trHeight w:hRule="atLeast" w:val="33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0540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28,34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0,11</w:t>
            </w:r>
          </w:p>
        </w:tc>
      </w:tr>
      <w:tr>
        <w:trPr>
          <w:trHeight w:hRule="atLeast" w:val="378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</w:t>
            </w:r>
            <w:r>
              <w:rPr>
                <w:rFonts w:ascii="Arial" w:hAnsi="Arial"/>
                <w:sz w:val="20"/>
              </w:rPr>
              <w:t>6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1 260,00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4,89</w:t>
            </w:r>
          </w:p>
        </w:tc>
      </w:tr>
      <w:t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  <w:p w14:paraId="27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07</w:t>
            </w:r>
            <w:r>
              <w:rPr>
                <w:rFonts w:ascii="Arial" w:hAnsi="Arial"/>
                <w:sz w:val="20"/>
              </w:rPr>
              <w:t>00</w:t>
            </w:r>
          </w:p>
          <w:p w14:paraId="28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9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2A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4 697,30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</w:p>
          <w:p w14:paraId="2C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18,23</w:t>
            </w:r>
          </w:p>
        </w:tc>
      </w:tr>
      <w:tr>
        <w:trPr>
          <w:trHeight w:hRule="atLeast" w:val="151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08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10000">
            <w:pPr>
              <w:rPr>
                <w:rFonts w:ascii="Arial" w:hAnsi="Arial"/>
                <w:sz w:val="20"/>
              </w:rPr>
            </w:pPr>
          </w:p>
        </w:tc>
      </w:tr>
      <w:tr>
        <w:trPr>
          <w:trHeight w:hRule="atLeast" w:val="339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09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4 697,30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2010000">
            <w:pPr>
              <w:widowControl w:val="0"/>
              <w:ind/>
              <w:jc w:val="center"/>
              <w:rPr>
                <w:rFonts w:ascii="Arial" w:hAnsi="Arial"/>
                <w:b w:val="1"/>
                <w:sz w:val="20"/>
              </w:rPr>
            </w:pPr>
            <w:r>
              <w:rPr>
                <w:rFonts w:ascii="Arial" w:hAnsi="Arial"/>
                <w:b w:val="1"/>
                <w:sz w:val="20"/>
              </w:rPr>
              <w:t>18,23</w:t>
            </w:r>
          </w:p>
        </w:tc>
      </w:tr>
      <w:tr>
        <w:trPr>
          <w:trHeight w:hRule="atLeast" w:val="558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18,23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</w:p>
        </w:tc>
      </w:tr>
      <w:tr>
        <w:trPr>
          <w:trHeight w:hRule="atLeast" w:val="256"/>
        </w:trPr>
        <w:tc>
          <w:tcPr>
            <w:tcW w:type="dxa" w:w="460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7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1</w:t>
            </w:r>
            <w:r>
              <w:rPr>
                <w:rFonts w:ascii="Arial" w:hAnsi="Arial"/>
                <w:sz w:val="20"/>
              </w:rPr>
              <w:t>00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10000">
            <w:pPr>
              <w:widowControl w:val="0"/>
              <w:ind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18,23</w:t>
            </w:r>
          </w:p>
        </w:tc>
        <w:tc>
          <w:tcPr>
            <w:tcW w:type="dxa" w:w="165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8010000">
            <w:pPr>
              <w:rPr>
                <w:rFonts w:ascii="Arial" w:hAnsi="Arial"/>
                <w:sz w:val="20"/>
              </w:rPr>
            </w:pPr>
          </w:p>
        </w:tc>
      </w:tr>
    </w:tbl>
    <w:p w14:paraId="39010000">
      <w:pPr>
        <w:rPr>
          <w:rFonts w:ascii="Arial" w:hAnsi="Arial"/>
          <w:b w:val="1"/>
        </w:rPr>
      </w:pPr>
    </w:p>
    <w:p w14:paraId="3A010000">
      <w:pPr>
        <w:rPr>
          <w:rFonts w:ascii="Arial" w:hAnsi="Arial"/>
          <w:sz w:val="22"/>
        </w:rPr>
      </w:pPr>
      <w:r>
        <w:rPr>
          <w:rFonts w:ascii="Arial" w:hAnsi="Arial"/>
          <w:sz w:val="22"/>
        </w:rPr>
        <w:t>Директор ООО «ЖЭУ»   ___________ Белякова А. Г.</w:t>
      </w:r>
    </w:p>
    <w:sectPr>
      <w:pgSz w:h="16838" w:orient="portrait" w:w="11906"/>
      <w:pgMar w:bottom="1134" w:footer="709" w:gutter="0" w:header="709" w:left="1418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Balloon Text"/>
    <w:basedOn w:val="Style_2"/>
    <w:link w:val="Style_10_ch"/>
    <w:rPr>
      <w:rFonts w:ascii="Tahoma" w:hAnsi="Tahoma"/>
      <w:sz w:val="16"/>
    </w:rPr>
  </w:style>
  <w:style w:styleId="Style_10_ch" w:type="character">
    <w:name w:val="Balloon Text"/>
    <w:basedOn w:val="Style_2_ch"/>
    <w:link w:val="Style_10"/>
    <w:rPr>
      <w:rFonts w:ascii="Tahoma" w:hAnsi="Tahoma"/>
      <w:sz w:val="16"/>
    </w:rPr>
  </w:style>
  <w:style w:styleId="Style_11" w:type="paragraph">
    <w:name w:val="toc 3"/>
    <w:next w:val="Style_2"/>
    <w:link w:val="Style_11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2"/>
    <w:link w:val="Style_12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0"/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2"/>
    <w:link w:val="Style_18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5" w:type="table">
    <w:name w:val="Table Grid"/>
    <w:basedOn w:val="Style_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2024-06-25T08:51:16Z</dcterms:created>
  <dcterms:modified xsi:type="dcterms:W3CDTF">2025-06-27T07:06:34Z</dcterms:modified>
</cp:coreProperties>
</file>