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МУНИЦИПАЛЬНАЯ  АВТОНОМНАЯ</w:t>
      </w:r>
      <w:proofErr w:type="gramEnd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  ОБРАЗОВАТЕЛЬНАЯ ОРГАНИЗАЦИЯ «СРЕДНЯЯ ОБЩЕОБРАЗОВАТЕЛЬНАЯ ШКОЛА №3 </w:t>
      </w:r>
      <w:proofErr w:type="spellStart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г.РУЗЫ</w:t>
      </w:r>
      <w:proofErr w:type="spellEnd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»</w:t>
      </w: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143103, Московская область, г. Руза, ул. Волоколамское шоссе, д.4</w:t>
      </w: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Тел. 8(496)27 23006, Е-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 xml:space="preserve">: </w:t>
      </w:r>
      <w:proofErr w:type="spellStart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ruzaschoool</w:t>
      </w:r>
      <w:proofErr w:type="spellEnd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3@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mail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eastAsia="ru-RU"/>
        </w:rPr>
        <w:t>.</w:t>
      </w:r>
      <w:proofErr w:type="spellStart"/>
      <w:r w:rsidRPr="009B163C">
        <w:rPr>
          <w:rFonts w:ascii="Times New Roman" w:eastAsiaTheme="minorEastAsia" w:hAnsi="Times New Roman" w:cs="Times New Roman"/>
          <w:b/>
          <w:bCs/>
          <w:color w:val="000000"/>
          <w:sz w:val="18"/>
          <w:szCs w:val="18"/>
          <w:lang w:val="en-US" w:eastAsia="ru-RU"/>
        </w:rPr>
        <w:t>ru</w:t>
      </w:r>
      <w:proofErr w:type="spellEnd"/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Согласовано                                                                    Утверждено</w:t>
      </w:r>
    </w:p>
    <w:p w:rsidR="009B163C" w:rsidRPr="009B163C" w:rsidRDefault="009B163C" w:rsidP="009B163C">
      <w:pPr>
        <w:tabs>
          <w:tab w:val="right" w:pos="9355"/>
        </w:tabs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Зам. директора по УВР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Директор </w:t>
      </w:r>
      <w:proofErr w:type="gramStart"/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МАОО  СОШ</w:t>
      </w:r>
      <w:proofErr w:type="gramEnd"/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№3 г. Рузы</w:t>
      </w:r>
    </w:p>
    <w:p w:rsidR="009B163C" w:rsidRPr="009B163C" w:rsidRDefault="009B163C" w:rsidP="009B163C">
      <w:pPr>
        <w:tabs>
          <w:tab w:val="right" w:pos="9355"/>
        </w:tabs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____________ Баранова Т.Г.</w:t>
      </w: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ab/>
        <w:t>____________ Левкина Н.В.</w:t>
      </w: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«___»_______________2016 г. </w:t>
      </w: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«___»_______________2016 г. </w:t>
      </w: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B163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по музыке</w:t>
      </w: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</w:pPr>
      <w:proofErr w:type="gramStart"/>
      <w:r w:rsidRPr="009B163C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4  класс</w:t>
      </w:r>
      <w:proofErr w:type="gramEnd"/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Составитель: </w:t>
      </w: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Зимина Наталья Юрьевна</w:t>
      </w:r>
    </w:p>
    <w:p w:rsidR="009B163C" w:rsidRPr="009B163C" w:rsidRDefault="009B163C" w:rsidP="009B163C">
      <w:pPr>
        <w:spacing w:before="0" w:after="0" w:line="240" w:lineRule="auto"/>
        <w:jc w:val="right"/>
        <w:rPr>
          <w:rFonts w:ascii="Times New Roman" w:eastAsiaTheme="minorEastAsia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9B163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9B163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>учитель  начальных</w:t>
      </w:r>
      <w:proofErr w:type="gramEnd"/>
      <w:r w:rsidRPr="009B163C">
        <w:rPr>
          <w:rFonts w:ascii="Times New Roman" w:eastAsiaTheme="minorEastAsia" w:hAnsi="Times New Roman" w:cs="Times New Roman"/>
          <w:bCs/>
          <w:i/>
          <w:color w:val="000000"/>
          <w:sz w:val="24"/>
          <w:szCs w:val="24"/>
          <w:lang w:eastAsia="ru-RU"/>
        </w:rPr>
        <w:t xml:space="preserve"> классов</w:t>
      </w: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63C" w:rsidRPr="009B163C" w:rsidRDefault="009B163C" w:rsidP="009B163C">
      <w:pPr>
        <w:spacing w:before="0"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B163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Руза, 2016</w:t>
      </w:r>
    </w:p>
    <w:p w:rsidR="009B163C" w:rsidRDefault="009B163C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163C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Рабочая программа по музыке для 4 класса общеобразовательной школы разработана в соответствии </w:t>
      </w:r>
      <w:r w:rsidR="00AD73F0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учебным планом МАОО «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AD73F0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№3 </w:t>
      </w:r>
      <w:proofErr w:type="spellStart"/>
      <w:r w:rsidR="00AD73F0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г.Рузы</w:t>
      </w:r>
      <w:proofErr w:type="spellEnd"/>
      <w:r w:rsidR="00AD73F0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2016-2017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Федеральным государственным образовательным стандартом начального общего образования 2009 года, годовым календарным графиком и учебным планом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школы,,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авторской программы Е.Д. Критская, Г.П. Сергеева, Т.С.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9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магина</w:t>
      </w:r>
      <w:proofErr w:type="spellEnd"/>
      <w:r w:rsidR="009B16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2011г.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ориентирована на использование учебно-методического комплекта: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-Критская Е.Д., Сергеева Г.П.,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Шмагина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 «Музыка.4 класс»: Учебник для учащихся 4 класса, М., Просвещение, 2012.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-Методика работы с учебниками «Музыка».1-4 классы. Пособие для учителя. - М., Просвещение, 2010.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«Музыка» изучается в I–IV классах в объеме не менее 135 часов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в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классе - 34 часа (1 час в неделю , 34 учебные недели).</w:t>
      </w:r>
    </w:p>
    <w:p w:rsidR="00CD7BD2" w:rsidRPr="00C70F81" w:rsidRDefault="00C70F81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Содержание </w:t>
      </w:r>
      <w:r w:rsidR="00CD7BD2" w:rsidRPr="00C70F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учебного курса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1: «Россия – Родина моя» (3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Мелодия. Ты запой мне ту песню... «Что не выразишь словами, звуком на душу навей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...»Народная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профессиональная музыка. Сочинения отечественных композиторов о Родине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«Концерт №3»,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В.Локтев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«Песня о России»). Интонация как внутреннее озвученное состояние, выражение эмоций и отражение мыслей. («Ты, река ль, моя реченька», русская народная песня) и музыки русских композиторов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Знакомство с жанром вокализ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«Вокализ»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).Как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сложили песню. Звучащие картины. «Ты откуда русская, зародилась,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?»Наблюдение</w:t>
      </w:r>
      <w:proofErr w:type="spellEnd"/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народного творчества. Музыкальный и поэтический фольклор России: песни. Рассказ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К.Петрова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-Водкина «Полдень». Размышления учащихся над поэтическими строками: «Вся Россия просится в песню» и «Жизнь дает для песни образы и звуки…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».Я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пойду по полю белому... На великий праздник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собралася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Русь! 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Обобщение.Патриотическая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в русской классике. Образы защитников Отечества.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С.Прокофьев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опера «Иван Сусанин»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«О России петь – что стремиться в храм» (4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Святые земли Русской. Илья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Муромец.Святые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земли Русской. Народная и профессиональная музыка. Духовная музыка в творчестве композиторов.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Стихира.(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«Богатырские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ворота»М.П.Мусоргский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«Богатырская симфония»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А.Бородин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).Праздников праздник, торжество из торжеств. Ангел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вопияше.Праздники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церкви. Пасха. Музыкальный фольклор России. Народные музыкальные традиции Отечества. Духовная музыка в творчестве композиторов. («Богородице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радуйся!» С.В. Рахманинов). Церковные песнопения: тропарь, молитва, величание. («Ангел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вопияше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П.Чесноков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молитва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).Родной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обычай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старины.Праздники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Русской православной церкви. Пасха. Народные музыкальные традиции родного края. Духовная музыка в творчестве композиторов. (Сюита для двух фортепиано «Светлый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</w:t>
      </w: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Мефодий.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Обобщение.Обобщенное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исторического прошлого в музыкальных образах. Гимн, величание. Святые земли Русской.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«День, полный событий» (6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краю великих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вдохновений.Интонация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музыке русских композиторов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Г.Свиридов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изобразительном искусстве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В.Попков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«Осенние дожди»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).Что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прелесть эти сказки! Три чуда. Музыкально-поэтические образы в сказке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 опере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Н.А.Римского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–Корсакова «Сказка о царе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».Ярмарочное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гулянье.Народная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профессиональная музыка. Музыка в народном стиле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Хор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«Евгений Онегин»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«Девицы, красавицы», «Уж как по мосту,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мосточку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«Детский альбом»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«Камаринская», «Мужик на гармонике играет»; Вступление к опере «Борис Годунов»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Святогорский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монастырь.Народная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профессиональная музыка. Музыка в народном стиле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Хор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оперы «Евгений Онегин»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«Девицы, красавицы», «Уж как по мосту,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мосточку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»; «Детский альбом»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«Камаринская», «Мужик на гармонике играет»; Вступление к опере «Борис Годунов»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).Зимнее утро. Зимний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вечер.Музыкально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-поэтические образы. Музыкальное</w:t>
      </w:r>
      <w:r w:rsidR="00C70F81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прочтение стихотворения (</w:t>
      </w:r>
      <w:proofErr w:type="spellStart"/>
      <w:r w:rsidR="00C70F81"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А.Пушкина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пьеса «Зимнее утро» из «Детского альбома»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русская народная песня «Зимняя дорога», хор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В.Шебалина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«Зимняя дорога»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).Приют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сияньем муз одетый.  Обобщение.  Интонация как внутреннее озвученное состояние, выражение эмоций и отражение мыслей. Музыкально-поэтические образы. Лирика в поэзии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музыке русских композиторов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Г.Свиридов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 изобразительном искусстве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В.Попков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«Осенние дожди»).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«Гори, гори ясно, чтобы не погасло!» (3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Композитор- имя ему народ. Музыкальные инструменты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России.Народная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профессиональная музыка. Народное музыкальное творчество разных стран мира.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другой.Оркестр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русских народных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инструментов.Музыкальные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инструменты. Оркестр русских народных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инструментов.Народные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праздники.      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».Музыка</w:t>
      </w:r>
      <w:proofErr w:type="spellEnd"/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народных обрядах и обычаях. Народные музыкальные традиции родного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края.Народные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игры. 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Обобщение.Музыкальный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фольклор народов России. Праздники русского народа. Троицын день.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«В концертном зале» (5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инструменты (скрипка, виолончель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).Накопление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музыкальных впечатлений, связанных с восприятием и исполнением музыки таких композиторов, как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А.Бородин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(«Ноктюрн»),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П.Чайковский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(«Вариации на тему рококо» для виолончели с оркестром)Счастье в сирени живет…Знакомство с жанром романса на примере творчества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(романс «Сирень»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С.Рахманинов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).«Не молкнет сердце чуткое Шопена…»Интонации народных танцев в музыке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«Полонез №3», «Вальс 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№10», «Мазурка»).«Патетическая»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соната.Музыкальная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драматургия сонаты. (Соната №8 «Патетическая»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).Царит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гармония оркестра.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Обобщение.Накопление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обобщение музыкально-слуховых впечатлений. Исполнение разученных произведений, участие в коллективном пении,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элементарных музыкальных инструментах.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 «В музыкальном театре» (6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 «Иван Сусанин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Песенность</w:t>
      </w:r>
      <w:proofErr w:type="spellEnd"/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оперы.Музыкальное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 сопоставлении и столкновении человеческих чувств, тем, художественных образов. Драматургическое развитие в опере. Контраст. Основные темы – музыкальная характеристика действующих лиц. (Опера «Иван Сусанин»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интродукция, танцы из 2 действия, хор из 3 действия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).Основные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музыкальной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выразительности.Музыкальная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интонация как основа музыкального искусства, отличающая его от других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искусств.Линии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драматургического развитие в опере «Иван Сусанин» ( Сцена из 4 действия). Интонация как внутренне озвученное состояние, выражение эмоций и отражений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мыслей.Исходила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младешенька.Песенность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оперы.Музыкальное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 сопоставлении и столкновении человеческих чувств, тем, художественных образов. Драматургическое развитие в опере. Контраст. Основные темы – музыкальная характеристика действующих лиц. (Опера «Иван Сусанин»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М.Глинка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интродукция, танцы из 2 действия, хор из 3 действия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).Основные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музыкальной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выразительности.Музыкальная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интонация как основа музыкального искусства, отличающая его от других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искусств.Линии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драматургического развитие в опере «Иван Сусанин» ( Сцена из 4 действия). Интонация как внутренне озвученное состояние, выражение эмоций и отражений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мыслей.Русский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восток.Народная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профессиональная музыка. Знакомство с творчеством отечественных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композиторов.Интонационно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Вариационность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(«Рассвет на Москве-реке», «Исходила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из оперы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М.Мусоргского</w:t>
      </w:r>
      <w:proofErr w:type="spellEnd"/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).Учащиеся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еще с несколькими оперными фрагментами: повторяют вступление «Рассвет на Москве-реке» к опере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М. Мусоргского, разучивают песню Марфы «Исходила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»,Балет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Петрушка»балета.Народные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музыкальные традиции Отечества. Народная и профессиональная музыка. Балет. (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И.Ф.Стравинский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«Петрушка»). Музыка в народном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стиле.Театр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комедии.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Обобщнеие.Песенность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маршевость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становления более сложных жанров – оперетта и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мюзикл.Мюзикл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оперетта. Жанры легкой музыки.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Раздел: «Чтоб музыкантом быть, так надобно уменье…» (7 ч.)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Служенье муз не терпит суеты.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Прелюдия.Интонация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внутреннее озвученное состояние, выражение эмоций и отражение мыслей. Различные жанры фортепианной музыки. («Прелюдия»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«Революционный этюд»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Развитие музыкального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образа.Исповедь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души. Революционный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этюд.Интонация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внутреннее озвученное состояние, выражение эмоций и отражение мыслей. Различные жанры фортепианной музыки. («Прелюдия»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С.В.Рахманинов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«Революционный этюд»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Ф.Шопен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Развитие музыкального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образа.Мастерство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исполнителя.Музыкальные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«Патетическая соната»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«Утро»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мастерство 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известных исполнителей («Пожелание друзьям»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«Песня о друге»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В.Высоцкий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интонации спрятан человек.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«Патетическая соната»,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«Песня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Сольвейг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М.Мусоргский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«Исходила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младешенька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Размышления на тему «Могут ли иссякнуть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мелодии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?»Музыкальные</w:t>
      </w:r>
      <w:proofErr w:type="spellEnd"/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инструменты-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гитара.Музыкальные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И.Бах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«Патетическая соната»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Л.Бетховен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«Утро»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Э.Григ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мастерство известных исполнителей («Пожелание друзьям»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Б.Окуджава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«Песня о друге»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В.Высоцкий</w:t>
      </w:r>
      <w:proofErr w:type="spellEnd"/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).Музыкальный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сказочник.Выразительность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изобразительность в музыке. Опера. Сюита. Музыкальные образы в произведениях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Н.Римского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-Корсакова (Оперы «Садко», «Сказка о царе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сюита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Шахеразада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).«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Рассвет на Москве-реке»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Обобщение.Многозначность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музыкальной речи, выразительность и смысл. Музыкальные образы в произведении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М.П.Мусоргского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(«Рассвет на Москве-реке» - вступление к опере «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Хованщина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 Обобщение музыкальных впечатлений четвероклассников за 4 четверть и год. Составление афиши и программы концерта. Исполнение выученных и полюбившихся песен всего учебного года.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ЛИЧНОСТНЫЕ, МЕТАПРЕДМЕТНЫЕ И ПРЕДМЕТНЫЕ РЕЗУЛЬТАТЫ ОСВОЕНИЯ УЧЕБНОГО ПРЕДМЕТА</w:t>
      </w:r>
    </w:p>
    <w:p w:rsid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«Музыка» в начальной школе должны быть достигнуты определенные результаты.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 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музыки и музыки других стран, народов, национальных стилей;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уважительное отношение к культуре других народов;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потребностей, ценностей и чувств;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формирование этических чувств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доброжелательностии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эмоционально-нравственной отзывчивости, понимания и сопереживания чувствам других людей;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 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характеризуют уровень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освоение начальных форм познавательной и личностной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рефлексии; позитивная самооценка своих музыкально-творческих возможностей;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изучения музыки 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отражают опыт учащихся в музыкально-творческой деятельности: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представления о роли музыки в жизни человека, в его духовно-нравственном развитии;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общего представления о музыкальной картине мира;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воспринимать музыку и выражать свое отношение к музыкальным произведениям;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 практических задач;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профессиональной музыки, ценить отечественные народные музыкальные традиции;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</w:t>
      </w: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систему графических знаков для ориентации в нотном письме при пении простейших мелодий;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70F81" w:rsidRPr="00C70F81" w:rsidRDefault="00C70F81" w:rsidP="00C70F8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музицирование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 и др.), собирать музыкальные коллекции (фонотека, видеотека).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F81" w:rsidRPr="00C70F81" w:rsidRDefault="00C70F81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BD2" w:rsidRPr="00C70F81" w:rsidRDefault="00CD7BD2" w:rsidP="00CD7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Примерные программы по учебным предметам. Начальная школа. В 2 ч.ч.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2.-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4-ое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изд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.,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.- М.: Просвещение, 2011</w:t>
      </w:r>
    </w:p>
    <w:p w:rsidR="00CD7BD2" w:rsidRPr="00C70F81" w:rsidRDefault="00CD7BD2" w:rsidP="00CD7B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Музыка. Рабочие программы </w:t>
      </w:r>
      <w:proofErr w:type="spellStart"/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Г,П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,Сергеева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Е.Д.Критская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 2013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Критская Е.Д. Музыка. 3 класс: учеб. Для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Учреждений/ </w:t>
      </w:r>
      <w:proofErr w:type="spell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Е.Д.Критская</w:t>
      </w:r>
      <w:proofErr w:type="spell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Г.П. Сергеева, </w:t>
      </w:r>
      <w:proofErr w:type="gramStart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Т.С.Шмагина.-</w:t>
      </w:r>
      <w:proofErr w:type="gramEnd"/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5-е изд.- М.: Просвещение</w:t>
      </w: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70F81" w:rsidRDefault="00C70F81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0F81" w:rsidRDefault="00C70F81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X="-561" w:tblpY="465"/>
        <w:tblW w:w="66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16"/>
        <w:gridCol w:w="574"/>
        <w:gridCol w:w="6098"/>
        <w:gridCol w:w="715"/>
        <w:gridCol w:w="571"/>
        <w:gridCol w:w="236"/>
        <w:gridCol w:w="1689"/>
      </w:tblGrid>
      <w:tr w:rsidR="009B163C" w:rsidRPr="00C70F81" w:rsidTr="009B163C">
        <w:trPr>
          <w:gridAfter w:val="2"/>
          <w:wAfter w:w="775" w:type="pct"/>
          <w:trHeight w:val="456"/>
        </w:trPr>
        <w:tc>
          <w:tcPr>
            <w:tcW w:w="4225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B163C" w:rsidRPr="009B163C" w:rsidRDefault="009B163C" w:rsidP="009B163C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9B163C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9B163C" w:rsidRPr="00C70F81" w:rsidTr="009B163C">
        <w:trPr>
          <w:gridAfter w:val="2"/>
          <w:wAfter w:w="775" w:type="pct"/>
          <w:trHeight w:val="106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№</w:t>
            </w:r>
          </w:p>
          <w:p w:rsidR="009B163C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 урока и тип урока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63C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Деятельность</w:t>
            </w:r>
          </w:p>
          <w:p w:rsidR="009B163C" w:rsidRDefault="009B163C" w:rsidP="009B163C">
            <w:pPr>
              <w:spacing w:before="0" w:after="20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</w:p>
        </w:tc>
        <w:tc>
          <w:tcPr>
            <w:tcW w:w="51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70F81">
              <w:rPr>
                <w:rFonts w:eastAsiaTheme="minorEastAsia"/>
                <w:sz w:val="24"/>
                <w:szCs w:val="24"/>
                <w:lang w:eastAsia="ru-RU"/>
              </w:rPr>
              <w:t>Дата</w:t>
            </w:r>
          </w:p>
          <w:p w:rsidR="009B163C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C70F81">
              <w:rPr>
                <w:rFonts w:eastAsiaTheme="minorEastAsia"/>
                <w:sz w:val="24"/>
                <w:szCs w:val="24"/>
                <w:lang w:eastAsia="ru-RU"/>
              </w:rPr>
              <w:t>План факт</w:t>
            </w: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Мелодия  «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Ты запой мне ту песню…»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Обсуждение: как народная музыка используется в творчестве русских композиторов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Выразительное, осмысленное исполнение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Пение мелодии с ориентацией на нотную запись: интонация русской природы.  любовь к родной природе, гордость за ее красоту.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Как сложили песню. Звучащие картины.  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 музыки.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с народной музыкой.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Пение мелодии с ориентацией на нотную запись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интонация русской природы.  любовь к родной природе, гордость за ее красоту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песен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воплощением  художественного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образа русского народа, гордость за ее красоту.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color w:val="323E4F" w:themeColor="text2" w:themeShade="BF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Ты откуда русская, зародилась,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музыка?.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Р/К </w:t>
            </w:r>
            <w:r w:rsidRPr="00C70F81">
              <w:rPr>
                <w:rFonts w:ascii="Times New Roman" w:eastAsiaTheme="minorEastAsia" w:hAnsi="Times New Roman" w:cs="Times New Roman"/>
                <w:b/>
                <w:i/>
                <w:color w:val="323E4F" w:themeColor="text2" w:themeShade="BF"/>
                <w:sz w:val="24"/>
                <w:szCs w:val="24"/>
                <w:lang w:eastAsia="ru-RU"/>
              </w:rPr>
              <w:t>Жанры казачьих песен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 музыки.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с народной музыкой.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Пластические импровизации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дирижерских жестов, с подчеркиванием контрастной линии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песен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воплощением  художественного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образа русского народа, гордость за ее красоту.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«Я пойду по полю белому...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На великий праздник </w:t>
            </w:r>
            <w:proofErr w:type="spellStart"/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Русь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Слушание музыки.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интонационно-слуховой анализ музыкальных интонаций, выявления особенностей музыки русских композиторов и схожесть некоторых черт (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песенность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 с народной музыкой.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Пластические импровизации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дирижерских жестов, с подчеркиванием контрастной линии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Выразительное, осмысленное исполнение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репертуара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bottom w:val="single" w:sz="4" w:space="0" w:color="auto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«Приют спокойствия, трудов и вдохновенья…»  </w:t>
            </w: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Средства музыкальной выразительности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и особенное в музыкальной и речевой интонациях. </w:t>
            </w:r>
            <w:proofErr w:type="gramStart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Черты,  присущие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музыке русских. Композиторов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 Осенняя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песнь; 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Г. Свиридов. Пастораль. М.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Мусоргский  В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 деревне.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Пение мелодии с ориентацией на нотную запись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соблюдение чистых интонаций, демонстрирование нотной грамотности.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Выразительное, осмысленное исполнение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Зимнее утро, зимний вечер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Средства музыкальной выразительности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Общее и особенное в музыкальной и речевой </w:t>
            </w:r>
            <w:proofErr w:type="gramStart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интонациях .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Черты,  присущие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музыке русских. Композиторов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П.Чайковский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  Зимнее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утро; 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У камелька;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Поэтические образы </w:t>
            </w:r>
            <w:proofErr w:type="spellStart"/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музыке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русских композиторов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«Что за прелесть эти сказки!». Три чуда.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u w:val="single"/>
                <w:lang w:eastAsia="ru-RU"/>
              </w:rPr>
              <w:t>Средства музыкальной выразительности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.  </w:t>
            </w: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и особенное в музыкальной и речевой интонациях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Слушание музыки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эмоционально откликаться на музыкальное произведение и делиться своими впечатлениями о музыке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Ярмарочное гулянье. </w:t>
            </w:r>
            <w:proofErr w:type="spellStart"/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Святогорский</w:t>
            </w:r>
            <w:proofErr w:type="spellEnd"/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монастырь.</w:t>
            </w: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Высказывание  собственное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мнение </w:t>
            </w: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 отношении музыкальных явлений, выдвижение  идеи и отстаивание собственной точки зрения;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Слушание музыки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эмоционально откликаться на музыкальное произведение и делиться своими впечатлениями о музыке;</w:t>
            </w: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«Приют, сияньем муз одетый…» (Обобщающий урок)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Слушание музыки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эмоционально откликаться на музыкальное произведение и делиться своими впечатлениями о музыке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Выполнение тестового задания</w:t>
            </w: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Опера </w:t>
            </w:r>
            <w:proofErr w:type="spellStart"/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М.И.Глинки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«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Иван Сусанин».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«Придумывание и отгадывание» слов с использованием названия  нот;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тем-характеристик действующих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  сценических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ситуаций, драматургии в операх и балетах.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пения. 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эскизов костюмов главных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героев  опер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балетов.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Опера М.П. Мусоргского «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» Исходила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младешенька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«Ритмическое эхо» - игра.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тем-характеристик действующих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  сценических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ситуаций, драматургии в операх и балетах.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пения. 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задания: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 афиши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музыкальному спектаклю, (можно использовать материал из Интернета).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Восток. Восточные мотивы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«Придумывание и отгадывание» слов с использованием названия  нот;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Определение  в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музыке: 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песенности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танцевальности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маршевости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Записываем исполнение, затем прослушиваем, даем оценку собственного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исполнения;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 вокальной исполнительской культурой, правильным дыханием во время пения. 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эскизов декораций к отдельным сценам театральных произведений.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Композитор – имя ему народ.  Музыкальные инструменты России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Оркестр русских народных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инструментов:  история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их возникновения.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произведения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нотной записи, осмысленно, выразительно.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Погружение  в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 образов   народных песен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интонационно - образный анализ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 импровизации: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разыгрывание инсценировка народных песен.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Оркестр русских народных инструментов. </w:t>
            </w:r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Р/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К  Творческие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коллективы Дона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Оркестр русских народных инструментов. Обсуждение характера звучание, внешнего сходства и различия народных музыкальных инструментов.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произведения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помощью нотной записи, осмысленно, выразительно.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Погружение  в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мир образов  народных песен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интонационно - образный анализ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 импровизации: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разыгрывание инсценировка народных песен.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Музицирование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на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ложках  воспроизведение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ритмического рисунка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«Музыкант-чародей». О музыке и музыкантах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«Музыкант-чародей». (Обобщающий урок 2 четверти)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Обобщение и закрепление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ыполнение</w:t>
            </w:r>
            <w:proofErr w:type="spellEnd"/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 xml:space="preserve"> тестового задания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445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Музыкальные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инструменты  Вариации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на тему рококо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(скрипка, виолончель).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Музыкальные инструменты симфонического оркестра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музыки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интонационно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-образный анали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Выразительное, осмысленное исполнение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репертуара;  деление на группы: слушателей и исполнителей; взаимная оценка качества исполнения.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 инструментов симфонического оркестра.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1"/>
          <w:wAfter w:w="680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Старый замок.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Музыкальные инструменты симфонического оркестра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музыки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интонационно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-образный анали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з: делимся на группы, формируем вопросы: образ, стиль, развитие музыки. Описание звучания струнных смычковых инструментов, сравнение с тембрами певческих голосов.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песен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воплощением  художественного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образа.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Пластические импровизации: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придумывание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движений  к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исполняемым на уроке песням.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рисунки инструментов симфонического оркестра.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«Счастье в сирени живет…»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Слушание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музыки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интонационно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-образный анали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з: «Угадай-ка!» - в игровой форме музыкальная викторина,  угадывание названия прозвучавших произведений, авторов музыки.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песен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воплощением  художественного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образа.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Пластические импровизации: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придумывание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движений  к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исполняемым на уроке песням.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Не молкнет сердце чуткое Шопена… Танцы, танцы,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танцы…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</w:t>
            </w: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Пластические импровизации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дирижерских жестов, с подчеркиванием контрастной линии передать образы танцевальной музыки Шопена.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Определить общие черты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танцевальной музыки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 найти различия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между разными танцами: вальсом, мазуркой, полонезом.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Выразительное, осмысленное исполнение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репертуара;  деление на группы: слушателей и исполнителей; взаимная оценка качества исполнения.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Патетическая  соната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Л.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ван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Бетховена. Годы странствий.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отгадывание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кроссворда по теме «Музыкальные инструменты»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Царит гармония оркестра.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пения. 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Пластические импровизации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форме дирижерских жестов, с подчеркиванием контрастной линии передать образ музыкального произведения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Балет Стравинского «Петрушка»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тем-характеристик действующих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  сценических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ситуаций, драматургии в операх и балетах.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пения. 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Творческие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задания: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эскизов костюмов главных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героев  опер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балетов.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Театр музыкальной комедии.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«Придумывание и отгадывание» слов с использованием названия  нот;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тем-характеристик действующих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лиц,  сценических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ситуаций, драматургии в операх и балетах.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пения.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cantSplit/>
          <w:trHeight w:val="113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120" w:line="276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Святые земли русской. Илья Муромец.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рассуждение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образах  святых земли Русской в музыке, поэзии, изобразительном искусстве.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осмысленное прослушивание музыкальных произведений, определение образного строя музыки с помощью «словаря эмоций». </w:t>
            </w:r>
          </w:p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Исполнение песен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воплощением  художественного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образа героического русского народа, гордость за ее красоту.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3"/>
            <w:tcBorders>
              <w:bottom w:val="nil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Кирилл и Мефодий.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Р/К </w:t>
            </w:r>
            <w:r w:rsidRPr="00C70F8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Народные праздники Дона.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рассуждение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образах  святых земли Русской в музыке, поэзии, изобразительном искусстве.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осмысленное прослушивание музыкальных произведений, определение образного строя музыки с помощью «словаря эмоций».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Выполнение тестового задания</w:t>
            </w: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pct"/>
            <w:gridSpan w:val="3"/>
            <w:tcBorders>
              <w:top w:val="nil"/>
            </w:tcBorders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Праздников праздник, торжество из торжеств.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рассуждение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образе  Иконы Богоматери Владимирской - величайшей святыни Руси. Воплощение этого святого образа в искусстве.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Жанрово- стилевой разбор произведений. Формирование эстетического отношения к миру, образу святых, стремление к гармонии и красоте.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Родной обычай старины. Светлый праздник.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 рассуждение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образах  святых земли Русской в музыке, поэзии, изобразительном искусстве. 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осмысленное прослушивание музыкальных произведений, определение образного строя музыки с помощью «словаря эмоций».</w:t>
            </w:r>
          </w:p>
          <w:p w:rsidR="009B163C" w:rsidRPr="00C70F81" w:rsidRDefault="009B163C" w:rsidP="009B163C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Хоровое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над  вокальной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исполнительской культурой, правильным дыханием во время пения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Народные праздники. «Троица».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мелодических отрывков,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жанрово - стилевой разбор: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произведений с ярко выраженным жизненным содержанием;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shd w:val="clear" w:color="auto" w:fill="auto"/>
          </w:tcPr>
          <w:p w:rsidR="009B163C" w:rsidRPr="00C70F81" w:rsidRDefault="009B163C" w:rsidP="009B163C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Прелюдия. Исповедь души. Революционный этюд.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Сообщение и усвоение новых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несложных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сходства и различия музыкальных образов, индивидуального стиля и музыкального </w:t>
            </w:r>
            <w:proofErr w:type="gramStart"/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языка  </w:t>
            </w:r>
            <w:proofErr w:type="spellStart"/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Ф.Шопена</w:t>
            </w:r>
            <w:proofErr w:type="spellEnd"/>
            <w:proofErr w:type="gramEnd"/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,     </w:t>
            </w:r>
            <w:proofErr w:type="spellStart"/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>С.Рахманинова</w:t>
            </w:r>
            <w:proofErr w:type="spellEnd"/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Пластические импровизации: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в пластических несложных движениях характера исполняемых песен.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Мастерство исполнителя. Музыкальные инструменты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пение по нотам несложных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попевок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дирижирование</w:t>
            </w:r>
            <w:proofErr w:type="spell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 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Пластические импровизации: 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передача в пластических несложных движениях характера исполняемых песен.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каждой  интонации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спрятан человек.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«Придумывание и отгадывание» слов с использованием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 нот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«Ритмическое эхо» - игра.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288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Музыкальный сказочник.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Расширение и углубление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«Придумывание и отгадывание» слов с использованием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 нот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«Ритмическое эхо» - игра.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Хоровое  и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сольное  исполнение.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песенного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репертуара;  работа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над выразительностью исполнения, вокальной исполнительской культурой, певческим дыханием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163C" w:rsidRPr="00C70F81" w:rsidTr="009B163C">
        <w:trPr>
          <w:gridAfter w:val="2"/>
          <w:wAfter w:w="775" w:type="pct"/>
          <w:cantSplit/>
          <w:trHeight w:val="196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Рассвет на Москве-реке.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Повторение и </w:t>
            </w:r>
            <w:proofErr w:type="gramStart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обобщение  полученных</w:t>
            </w:r>
            <w:proofErr w:type="gramEnd"/>
            <w:r w:rsidRPr="00C70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tabs>
                <w:tab w:val="left" w:pos="0"/>
              </w:tabs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Элементы нотной грамоты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«Придумывание и отгадывание» слов с использованием </w:t>
            </w:r>
            <w:proofErr w:type="gramStart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названия  нот</w:t>
            </w:r>
            <w:proofErr w:type="gramEnd"/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«Ритмическое эхо» - игра.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>Слушание произведений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r w:rsidRPr="00C70F81">
              <w:rPr>
                <w:rFonts w:ascii="Times New Roman" w:eastAsiaTheme="minorEastAsia" w:hAnsi="Times New Roman"/>
                <w:bCs/>
                <w:sz w:val="24"/>
                <w:szCs w:val="24"/>
                <w:lang w:eastAsia="ru-RU"/>
              </w:rPr>
              <w:t xml:space="preserve"> определение характера и настроения музыкальных отрывков.</w:t>
            </w:r>
            <w:r w:rsidRPr="00C70F8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Сравнительный анализ музыкальных тем. 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Исполнение песенного репертуара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Выражать художественно-образное содержание произведений</w:t>
            </w:r>
          </w:p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70F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u w:val="single"/>
                <w:lang w:eastAsia="ar-SA"/>
              </w:rPr>
              <w:t>Выполнение тестового задания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63C" w:rsidRPr="00C70F81" w:rsidRDefault="009B163C" w:rsidP="009B163C">
            <w:pPr>
              <w:spacing w:before="0"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F81" w:rsidRDefault="00C70F81" w:rsidP="009B1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7BD2" w:rsidRPr="00C70F81" w:rsidRDefault="00CD7BD2" w:rsidP="009B163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tblpX="21481" w:tblpY="-20159"/>
        <w:tblW w:w="2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</w:tblGrid>
      <w:tr w:rsidR="00C70F81" w:rsidRPr="00C70F81" w:rsidTr="009B163C">
        <w:trPr>
          <w:trHeight w:val="2190"/>
        </w:trPr>
        <w:tc>
          <w:tcPr>
            <w:tcW w:w="421" w:type="dxa"/>
          </w:tcPr>
          <w:p w:rsidR="00C70F81" w:rsidRPr="00C70F81" w:rsidRDefault="00C70F81" w:rsidP="00C70F81">
            <w:pPr>
              <w:spacing w:before="0"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70F81" w:rsidRPr="00C70F81" w:rsidRDefault="00C70F81" w:rsidP="009B163C">
      <w:pPr>
        <w:spacing w:before="0"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C70F81" w:rsidRPr="00C70F81" w:rsidRDefault="00C70F81" w:rsidP="00C70F81">
      <w:pPr>
        <w:spacing w:before="0" w:after="0" w:line="24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0F81" w:rsidRPr="00C70F81" w:rsidRDefault="00C70F81" w:rsidP="00C70F81">
      <w:pPr>
        <w:spacing w:before="0" w:after="0" w:line="24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0F81" w:rsidRPr="00C70F81" w:rsidRDefault="00C70F81" w:rsidP="00C70F81">
      <w:pPr>
        <w:spacing w:before="0" w:after="0" w:line="24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0F81" w:rsidRPr="00C70F81" w:rsidRDefault="00C70F81" w:rsidP="00C70F81">
      <w:pPr>
        <w:spacing w:before="0" w:after="0" w:line="240" w:lineRule="exact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C70F81" w:rsidRPr="00C70F81" w:rsidRDefault="00C70F81" w:rsidP="00C70F81">
      <w:pPr>
        <w:spacing w:before="0" w:after="200" w:line="276" w:lineRule="auto"/>
        <w:rPr>
          <w:rFonts w:eastAsiaTheme="minorEastAsia"/>
          <w:sz w:val="24"/>
          <w:szCs w:val="24"/>
          <w:lang w:eastAsia="ru-RU"/>
        </w:rPr>
      </w:pPr>
    </w:p>
    <w:p w:rsidR="00CD7BD2" w:rsidRPr="00C70F81" w:rsidRDefault="00CD7BD2" w:rsidP="00CD7BD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5344" w:rsidRPr="00C70F81" w:rsidRDefault="008C5344">
      <w:pPr>
        <w:rPr>
          <w:rFonts w:ascii="Times New Roman" w:hAnsi="Times New Roman" w:cs="Times New Roman"/>
          <w:sz w:val="24"/>
          <w:szCs w:val="24"/>
        </w:rPr>
      </w:pPr>
    </w:p>
    <w:sectPr w:rsidR="008C5344" w:rsidRPr="00C7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0E62"/>
    <w:multiLevelType w:val="multilevel"/>
    <w:tmpl w:val="01CAF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B7DD0"/>
    <w:multiLevelType w:val="multilevel"/>
    <w:tmpl w:val="C82E3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F23F66"/>
    <w:multiLevelType w:val="multilevel"/>
    <w:tmpl w:val="F2B81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D095B"/>
    <w:multiLevelType w:val="multilevel"/>
    <w:tmpl w:val="57D60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17F7"/>
    <w:multiLevelType w:val="multilevel"/>
    <w:tmpl w:val="0570F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A38FC"/>
    <w:multiLevelType w:val="multilevel"/>
    <w:tmpl w:val="A048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E3334"/>
    <w:multiLevelType w:val="multilevel"/>
    <w:tmpl w:val="28360B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D6EE1"/>
    <w:multiLevelType w:val="multilevel"/>
    <w:tmpl w:val="D77680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B62AD"/>
    <w:multiLevelType w:val="multilevel"/>
    <w:tmpl w:val="8FF2E3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203E4F"/>
    <w:multiLevelType w:val="multilevel"/>
    <w:tmpl w:val="1B98F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2A1AC8"/>
    <w:multiLevelType w:val="multilevel"/>
    <w:tmpl w:val="51160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077CE"/>
    <w:multiLevelType w:val="multilevel"/>
    <w:tmpl w:val="BAC6AE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F81A6C"/>
    <w:multiLevelType w:val="multilevel"/>
    <w:tmpl w:val="BA8C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9C354B"/>
    <w:multiLevelType w:val="multilevel"/>
    <w:tmpl w:val="59CA1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C108D"/>
    <w:multiLevelType w:val="multilevel"/>
    <w:tmpl w:val="5A04E7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3031D2"/>
    <w:multiLevelType w:val="multilevel"/>
    <w:tmpl w:val="12824E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5215CC"/>
    <w:multiLevelType w:val="multilevel"/>
    <w:tmpl w:val="CE2A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7F562F"/>
    <w:multiLevelType w:val="multilevel"/>
    <w:tmpl w:val="0BBED0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12"/>
  </w:num>
  <w:num w:numId="15">
    <w:abstractNumId w:val="3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D2"/>
    <w:rsid w:val="00802123"/>
    <w:rsid w:val="008C5344"/>
    <w:rsid w:val="009B163C"/>
    <w:rsid w:val="00AD73F0"/>
    <w:rsid w:val="00C70F81"/>
    <w:rsid w:val="00C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E723A-B953-44B3-A6CB-53C96D10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50" w:after="15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7BD2"/>
  </w:style>
  <w:style w:type="paragraph" w:styleId="a3">
    <w:name w:val="Normal (Web)"/>
    <w:basedOn w:val="a"/>
    <w:uiPriority w:val="99"/>
    <w:semiHidden/>
    <w:unhideWhenUsed/>
    <w:rsid w:val="00CD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7BD2"/>
  </w:style>
  <w:style w:type="character" w:styleId="a4">
    <w:name w:val="Emphasis"/>
    <w:basedOn w:val="a0"/>
    <w:uiPriority w:val="20"/>
    <w:qFormat/>
    <w:rsid w:val="00CD7BD2"/>
    <w:rPr>
      <w:i/>
      <w:iCs/>
    </w:rPr>
  </w:style>
  <w:style w:type="character" w:styleId="a5">
    <w:name w:val="Strong"/>
    <w:basedOn w:val="a0"/>
    <w:uiPriority w:val="22"/>
    <w:qFormat/>
    <w:rsid w:val="00CD7BD2"/>
    <w:rPr>
      <w:b/>
      <w:bCs/>
    </w:rPr>
  </w:style>
  <w:style w:type="character" w:customStyle="1" w:styleId="a-pages">
    <w:name w:val="a-pages"/>
    <w:basedOn w:val="a0"/>
    <w:rsid w:val="00CD7BD2"/>
  </w:style>
  <w:style w:type="character" w:customStyle="1" w:styleId="a-dalee">
    <w:name w:val="a-dalee"/>
    <w:basedOn w:val="a0"/>
    <w:rsid w:val="00CD7BD2"/>
  </w:style>
  <w:style w:type="character" w:styleId="a6">
    <w:name w:val="Hyperlink"/>
    <w:basedOn w:val="a0"/>
    <w:uiPriority w:val="99"/>
    <w:semiHidden/>
    <w:unhideWhenUsed/>
    <w:rsid w:val="00CD7BD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7BD2"/>
    <w:rPr>
      <w:color w:val="800080"/>
      <w:u w:val="single"/>
    </w:rPr>
  </w:style>
  <w:style w:type="character" w:customStyle="1" w:styleId="a-post">
    <w:name w:val="a-post"/>
    <w:basedOn w:val="a0"/>
    <w:rsid w:val="00CD7BD2"/>
  </w:style>
  <w:style w:type="character" w:customStyle="1" w:styleId="nowrap">
    <w:name w:val="nowrap"/>
    <w:basedOn w:val="a0"/>
    <w:rsid w:val="00CD7BD2"/>
  </w:style>
  <w:style w:type="character" w:customStyle="1" w:styleId="a-pr">
    <w:name w:val="a-pr"/>
    <w:basedOn w:val="a0"/>
    <w:rsid w:val="00CD7BD2"/>
  </w:style>
  <w:style w:type="character" w:customStyle="1" w:styleId="material-date">
    <w:name w:val="material-date"/>
    <w:basedOn w:val="a0"/>
    <w:rsid w:val="00CD7BD2"/>
  </w:style>
  <w:style w:type="character" w:customStyle="1" w:styleId="material-views">
    <w:name w:val="material-views"/>
    <w:basedOn w:val="a0"/>
    <w:rsid w:val="00CD7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837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874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2536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48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96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4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2308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122934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5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907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02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39750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05940376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52719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4943714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228251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666639884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87540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46839002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215127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974914055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99556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221141830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09789">
                              <w:marLeft w:val="0"/>
                              <w:marRight w:val="0"/>
                              <w:marTop w:val="75"/>
                              <w:marBottom w:val="225"/>
                              <w:divBdr>
                                <w:top w:val="single" w:sz="6" w:space="8" w:color="D1D1D1"/>
                                <w:left w:val="single" w:sz="6" w:space="11" w:color="D1D1D1"/>
                                <w:bottom w:val="single" w:sz="6" w:space="11" w:color="D1D1D1"/>
                                <w:right w:val="single" w:sz="6" w:space="8" w:color="D1D1D1"/>
                              </w:divBdr>
                              <w:divsChild>
                                <w:div w:id="190378551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15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9736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969">
              <w:marLeft w:val="0"/>
              <w:marRight w:val="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B20C9-A7F6-4347-983C-932BABB6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17</Pages>
  <Words>5600</Words>
  <Characters>31922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4</cp:revision>
  <dcterms:created xsi:type="dcterms:W3CDTF">2016-08-26T19:10:00Z</dcterms:created>
  <dcterms:modified xsi:type="dcterms:W3CDTF">2016-08-30T13:16:00Z</dcterms:modified>
</cp:coreProperties>
</file>