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EA" w:rsidRDefault="001714F8">
      <w:pPr>
        <w:pStyle w:val="a5"/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47625</wp:posOffset>
            </wp:positionV>
            <wp:extent cx="2392045" cy="20929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b/>
          <w:color w:val="FF0000"/>
          <w:sz w:val="40"/>
          <w:szCs w:val="40"/>
          <w:lang w:val="ru-RU"/>
        </w:rPr>
      </w:pPr>
      <w:r w:rsidRPr="001714F8">
        <w:rPr>
          <w:rFonts w:ascii="Times New Roman" w:hAnsi="Times New Roman"/>
          <w:b/>
          <w:color w:val="FF0000"/>
          <w:sz w:val="40"/>
          <w:szCs w:val="40"/>
          <w:lang w:val="ru-RU"/>
        </w:rPr>
        <w:t>Особенности развития познавательной сферы будущих первоклассников</w:t>
      </w: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jc w:val="center"/>
        <w:rPr>
          <w:rFonts w:ascii="Times New Roman" w:hAnsi="Times New Roman"/>
          <w:b/>
          <w:color w:val="5B277D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color w:val="5B277D"/>
          <w:sz w:val="28"/>
          <w:szCs w:val="28"/>
          <w:lang w:val="ru-RU"/>
        </w:rPr>
        <w:t>Особенности восприятия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У детей 6 – 7 лет уже относительно сформированы все виды анализаторов, на основе которых продолжают развиваться все виды чувствительности. В этом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возрасте чрезвычайно велика роль зрительных ощущений и восприятий. Около 80% информации об окружающем мире ребёнок получает с помощью зрения.</w:t>
      </w:r>
    </w:p>
    <w:p w:rsidR="007D36EA" w:rsidRPr="001714F8" w:rsidRDefault="001714F8">
      <w:pPr>
        <w:pStyle w:val="a5"/>
        <w:numPr>
          <w:ilvl w:val="0"/>
          <w:numId w:val="1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К шестилетнему возрасту значительно уменьшается количество ошибок в цветоразличении, повышается точность цветоразл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ичения. Ребёнок 6 – 7 лет знает не только основные цвета, но и их оттенки.</w:t>
      </w:r>
    </w:p>
    <w:p w:rsidR="007D36EA" w:rsidRPr="001714F8" w:rsidRDefault="001714F8">
      <w:pPr>
        <w:pStyle w:val="a5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Есть свои особенности в слуховой чувствительности. Острота тонального слуха ниже по сравнению с взрослыми людьми. При восприятии музыкальных произведений дошкольники улавливают преи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мущественно их динамическую сторону: ритм и темп.</w:t>
      </w:r>
    </w:p>
    <w:p w:rsidR="007D36EA" w:rsidRPr="001714F8" w:rsidRDefault="001714F8">
      <w:pPr>
        <w:pStyle w:val="a5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В этот период существенно усовершенствуется кинестетическая тактильная чувствительность. Показателем их развития может служить различия тяжести предметов. В возрасте 4 – 7 лет эта способность возрастает в 2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раза. Огромное значение в развитии кинестетических ощущений имеют подвижные игры, гимнастика, упражнения (катание на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велосипеде, коньках, лыжах, занятия теннисом).</w:t>
      </w:r>
    </w:p>
    <w:p w:rsidR="007D36EA" w:rsidRPr="001714F8" w:rsidRDefault="001714F8">
      <w:pPr>
        <w:pStyle w:val="a5"/>
        <w:numPr>
          <w:ilvl w:val="0"/>
          <w:numId w:val="4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Развивается обонятельная чувствительность. Дети 6 – 7 лет уже делают значительно меньше оши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бок в различении запахов.</w:t>
      </w:r>
    </w:p>
    <w:p w:rsidR="007D36EA" w:rsidRPr="001714F8" w:rsidRDefault="001714F8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Значительные изменения наблюдаются и в восприятии пространства. Упражняется глазомер также в аппликации, в рисовании, в играх.</w:t>
      </w:r>
      <w:r w:rsidRPr="001714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36EA" w:rsidRPr="001714F8" w:rsidRDefault="001714F8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Особо следует рассказать о некоторых особенностях художественного восприятия детей. Дошкольники активн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о относятся к воспринятому, пытаются воздействовать на героев произведений. Лишь к концу дошкольного возраста появляется способность занять позицию вне изображаемого, позицию зрителя. Оценочные суждения детей этого возраста ещё примитивны, но всё же свидет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ельствуют о зарождении умения не только чувствовать красивое, но и оценить его. </w:t>
      </w: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jc w:val="center"/>
        <w:rPr>
          <w:rFonts w:ascii="Times New Roman" w:hAnsi="Times New Roman"/>
          <w:b/>
          <w:color w:val="158466"/>
          <w:sz w:val="32"/>
          <w:szCs w:val="32"/>
          <w:lang w:val="ru-RU"/>
        </w:rPr>
      </w:pPr>
      <w:r w:rsidRPr="001714F8">
        <w:rPr>
          <w:rFonts w:ascii="Times New Roman" w:hAnsi="Times New Roman"/>
          <w:b/>
          <w:color w:val="158466"/>
          <w:sz w:val="32"/>
          <w:szCs w:val="32"/>
          <w:lang w:val="ru-RU"/>
        </w:rPr>
        <w:t>Особенности воображения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Воображение из репродуктивного (воссоздающего) превращается в творческое. Воображение у детей этого возраста уже соединяется с мышлением,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включается в процесс планирования действий.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приобретает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осознанный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целенаправленный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Творческое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воображение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проявляется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сюжетно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ролевых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играх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Игры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воображения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ребёнка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успехом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могут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быть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z w:val="28"/>
          <w:szCs w:val="28"/>
        </w:rPr>
        <w:t>ованы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своеобразного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символического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разрешения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конфликтных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Это можно объяснить тем, что через воображаемую ситуацию происходит разрядка возникающего напряжения.</w:t>
      </w:r>
    </w:p>
    <w:p w:rsidR="007D36EA" w:rsidRPr="001714F8" w:rsidRDefault="001714F8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>Старший дошкольный возраст является сензитивным (чувствительным) для формирования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воображения. Именно в этом возрасте происходит активация воображения: сначала репродуктивного, воссоздающего (позволяющего представлять сказочные образы), а затем творческого (которое обеспечивает возможность создания нового образа).</w:t>
      </w: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Значение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воображения в психическом развитии велико, оно способствует лучшему познанию окружающего мира, развитию личности ребёнка.</w:t>
      </w:r>
    </w:p>
    <w:p w:rsidR="007D36EA" w:rsidRPr="001714F8" w:rsidRDefault="007D36EA">
      <w:pPr>
        <w:pStyle w:val="a5"/>
        <w:spacing w:after="0" w:line="276" w:lineRule="auto"/>
        <w:ind w:left="72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ind w:left="720"/>
        <w:jc w:val="center"/>
        <w:rPr>
          <w:rFonts w:ascii="Times New Roman" w:hAnsi="Times New Roman"/>
          <w:b/>
          <w:color w:val="2A6099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color w:val="2A6099"/>
          <w:sz w:val="28"/>
          <w:szCs w:val="28"/>
          <w:lang w:val="ru-RU"/>
        </w:rPr>
        <w:t>Особенности памяти</w:t>
      </w:r>
    </w:p>
    <w:p w:rsidR="007D36EA" w:rsidRPr="001714F8" w:rsidRDefault="007D36EA">
      <w:pPr>
        <w:pStyle w:val="a5"/>
        <w:spacing w:after="0" w:line="276" w:lineRule="auto"/>
        <w:ind w:left="720"/>
        <w:jc w:val="center"/>
        <w:rPr>
          <w:rFonts w:ascii="Times New Roman" w:hAnsi="Times New Roman"/>
          <w:b/>
          <w:color w:val="2A6099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Большую роль в развитии памяти у ребёнка играют слуховые и зрительные впечатления. Постепенно память стан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овится все более сложной. Память ребёнка дошкольного возраста особенно богата образами отдельных конкретных предметов.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Для детской памяти характерно и совершенно противоположное свойство – это исключительная фотографичность. Дети могут легко зауч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ить наизусть какое-либо стихотворение или сказку. Если взрослый человек, пересказывая сказку, отклоняется от первоначального текста, то ребёнок тотчас же его поправит, напомнит пропущенную деталь.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возрасте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начинает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формироваться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произвольная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память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Следует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отметить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преобладает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наглядно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образная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память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Но на протяжении всего этого периода возникает и развивается память словесно - логическая, при воспоминании начинают выделяться существенные признаки предметов.</w:t>
      </w:r>
    </w:p>
    <w:p w:rsidR="007D36EA" w:rsidRPr="001714F8" w:rsidRDefault="001714F8">
      <w:pPr>
        <w:pStyle w:val="a5"/>
        <w:spacing w:after="0" w:line="276" w:lineRule="auto"/>
        <w:ind w:left="720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color w:val="FF0000"/>
          <w:sz w:val="28"/>
          <w:szCs w:val="28"/>
          <w:lang w:val="ru-RU"/>
        </w:rPr>
        <w:lastRenderedPageBreak/>
        <w:br/>
      </w:r>
    </w:p>
    <w:p w:rsidR="007D36EA" w:rsidRPr="001714F8" w:rsidRDefault="001714F8">
      <w:pPr>
        <w:pStyle w:val="a5"/>
        <w:spacing w:after="0" w:line="276" w:lineRule="auto"/>
        <w:ind w:left="720"/>
        <w:jc w:val="center"/>
        <w:rPr>
          <w:rFonts w:ascii="Times New Roman" w:hAnsi="Times New Roman"/>
          <w:b/>
          <w:color w:val="FF00E7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color w:val="FF00E7"/>
          <w:sz w:val="28"/>
          <w:szCs w:val="28"/>
          <w:lang w:val="ru-RU"/>
        </w:rPr>
        <w:t>Особенности внима</w:t>
      </w:r>
      <w:r w:rsidRPr="001714F8">
        <w:rPr>
          <w:rFonts w:ascii="Times New Roman" w:hAnsi="Times New Roman"/>
          <w:b/>
          <w:color w:val="FF00E7"/>
          <w:sz w:val="28"/>
          <w:szCs w:val="28"/>
          <w:lang w:val="ru-RU"/>
        </w:rPr>
        <w:t>ния</w:t>
      </w: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Характерной особенностью внимания ребёнка дошкольного возраста является то, что оно вызывается внешне привлекательными предметами. Сосредоточенным внимание остаётся до тех пор, пока сохраняется интерес к воспринимаемым объектам: предметам,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событиям, людям.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Внимание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дошкольном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возрасте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непроизвольным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Появлению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произвольного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внимания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предшествует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регулируемого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восприятия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активное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владение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речью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Чтобы совершенствовать способность дошкольника к само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регуляции своей познавательной активности, необходимо: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1) развивать его познавательные способности (мышление, восприятие, память, воображение),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>2) тренировать способности к сосредоточению сознания (переключаться с одного предмета на другой, развивать устой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чивость внимания, совершенствовать его объём).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В 6 – 7-летнем возрасте, когда процессы возбуждения начинают уравновешиваться процессами торможения, развивается произвольное внимание. Чтобы дошкольник учился произвольно управлять своим вниманием, ег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о надо просить больше рассуждать вслух.. Если ребёнок будет чаще называть вслух то, что он должен держать в сфере своего внимания, то он сможет произвольно и в течение довольно длительного времени удерживать своё внимание на тех или иных предметах и на их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деталях и свойствах.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основном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данного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возраста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способны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активно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продуктивно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заниматься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одним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делом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10 – 15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минут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отвлекаясь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посторонние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Устойчивость внимания зависит и от индивидуальных особенностей детей дошкольного возр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аста. Ниже мы предлагаем Вам упражнение на развитие внимания детей.</w:t>
      </w:r>
    </w:p>
    <w:p w:rsidR="007D36EA" w:rsidRPr="001714F8" w:rsidRDefault="001714F8">
      <w:pPr>
        <w:pStyle w:val="a5"/>
        <w:spacing w:after="0" w:line="276" w:lineRule="auto"/>
        <w:ind w:left="720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br/>
        <w:t>Упражнение «Цветные капельки»</w:t>
      </w:r>
    </w:p>
    <w:p w:rsidR="007D36EA" w:rsidRPr="001714F8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Цель: развитие внимания, произвольности поведения, развитие мелкой моторики рук и формирование ориентации в пространстве.</w:t>
      </w:r>
    </w:p>
    <w:p w:rsidR="007D36EA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Материал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D36EA" w:rsidRPr="001714F8" w:rsidRDefault="001714F8">
      <w:pPr>
        <w:pStyle w:val="a5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пипетки – несколько штук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(для каждого цвета лучше свою пипетку);</w:t>
      </w:r>
    </w:p>
    <w:p w:rsidR="007D36EA" w:rsidRDefault="001714F8">
      <w:pPr>
        <w:pStyle w:val="a5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36EA" w:rsidRPr="001714F8" w:rsidRDefault="001714F8">
      <w:pPr>
        <w:pStyle w:val="a5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краски, разбавленные водой (цветная вода);</w:t>
      </w:r>
    </w:p>
    <w:p w:rsidR="007D36EA" w:rsidRDefault="001714F8">
      <w:pPr>
        <w:pStyle w:val="a5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тряпочка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губка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36EA" w:rsidRDefault="001714F8">
      <w:pPr>
        <w:pStyle w:val="a5"/>
        <w:numPr>
          <w:ilvl w:val="0"/>
          <w:numId w:val="6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бумажные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салфетки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листы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бумаги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36EA" w:rsidRDefault="007D36EA">
      <w:pPr>
        <w:pStyle w:val="a5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1. Взрослый берет пипетку себе и еще одну дает ребенку. Показывает как получается капелька. Просит ребенка сдела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ть капельку.</w:t>
      </w:r>
    </w:p>
    <w:p w:rsidR="007D36EA" w:rsidRPr="001714F8" w:rsidRDefault="001714F8">
      <w:pPr>
        <w:pStyle w:val="a5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>2. Взрослый показывает, что пипеткой можно делать «кляксы» и простые аккуратные капельки. И просите его сделать сначала «кляксу», а потом капельку.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br/>
        <w:t>3. Взрослый предлагает задание – «Попробуй проложить дорожку из цветных капелек. Сделай большую</w:t>
      </w:r>
      <w:r w:rsidRPr="001714F8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капельку и маленькую. Сделай хоровод из капелек. Сделай цветочек из капелек. Придумай свой узор из капелек». И т.д.</w:t>
      </w:r>
    </w:p>
    <w:p w:rsidR="007D36EA" w:rsidRPr="001714F8" w:rsidRDefault="001714F8">
      <w:pPr>
        <w:pStyle w:val="a5"/>
        <w:spacing w:after="0" w:line="276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1714F8">
        <w:rPr>
          <w:rFonts w:ascii="Times New Roman" w:hAnsi="Times New Roman"/>
          <w:b/>
          <w:color w:val="FF0000"/>
          <w:sz w:val="28"/>
          <w:szCs w:val="28"/>
          <w:lang w:val="ru-RU"/>
        </w:rPr>
        <w:br/>
      </w:r>
      <w:r w:rsidRPr="001714F8">
        <w:rPr>
          <w:rFonts w:ascii="Times New Roman" w:hAnsi="Times New Roman"/>
          <w:b/>
          <w:color w:val="FF2A00"/>
          <w:sz w:val="28"/>
          <w:szCs w:val="28"/>
          <w:lang w:val="ru-RU"/>
        </w:rPr>
        <w:t>Особенности мышления</w:t>
      </w:r>
    </w:p>
    <w:p w:rsidR="007D36EA" w:rsidRPr="001714F8" w:rsidRDefault="007D36EA">
      <w:pPr>
        <w:pStyle w:val="a5"/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36EA" w:rsidRPr="001714F8" w:rsidRDefault="001714F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sz w:val="28"/>
          <w:szCs w:val="28"/>
          <w:lang w:val="ru-RU"/>
        </w:rPr>
        <w:t xml:space="preserve">       Мышление – это процесс познания человеком действительности с помощью мыслительных процессов – анализа, </w:t>
      </w:r>
      <w:r w:rsidRPr="001714F8">
        <w:rPr>
          <w:rFonts w:ascii="Times New Roman" w:hAnsi="Times New Roman"/>
          <w:sz w:val="28"/>
          <w:szCs w:val="28"/>
          <w:lang w:val="ru-RU"/>
        </w:rPr>
        <w:t>синтеза, суждений и т.п. Выделяют три вида мышления:</w:t>
      </w:r>
    </w:p>
    <w:p w:rsidR="007D36EA" w:rsidRPr="001714F8" w:rsidRDefault="001714F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14F8">
        <w:rPr>
          <w:rFonts w:ascii="Times New Roman" w:hAnsi="Times New Roman"/>
          <w:sz w:val="28"/>
          <w:szCs w:val="28"/>
          <w:lang w:val="ru-RU"/>
        </w:rPr>
        <w:t>1) наглядно-действенное (познание с помощью манипулирования предметами);</w:t>
      </w:r>
      <w:r w:rsidRPr="001714F8">
        <w:rPr>
          <w:rFonts w:ascii="Times New Roman" w:hAnsi="Times New Roman"/>
          <w:sz w:val="28"/>
          <w:szCs w:val="28"/>
          <w:lang w:val="ru-RU"/>
        </w:rPr>
        <w:br/>
        <w:t>2) наглядно-образное (познание с помощью представлений предметов, явлений);</w:t>
      </w:r>
      <w:r w:rsidRPr="001714F8">
        <w:rPr>
          <w:rFonts w:ascii="Times New Roman" w:hAnsi="Times New Roman"/>
          <w:sz w:val="28"/>
          <w:szCs w:val="28"/>
          <w:lang w:val="ru-RU"/>
        </w:rPr>
        <w:br/>
        <w:t xml:space="preserve">3) словесно-логическое (познание с помощью понятий, </w:t>
      </w:r>
      <w:r w:rsidRPr="001714F8">
        <w:rPr>
          <w:rFonts w:ascii="Times New Roman" w:hAnsi="Times New Roman"/>
          <w:sz w:val="28"/>
          <w:szCs w:val="28"/>
          <w:lang w:val="ru-RU"/>
        </w:rPr>
        <w:t>слов, рассуждений).</w:t>
      </w:r>
    </w:p>
    <w:p w:rsidR="007D36EA" w:rsidRDefault="001714F8">
      <w:pPr>
        <w:pStyle w:val="a5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714F8">
        <w:rPr>
          <w:rFonts w:ascii="Times New Roman" w:hAnsi="Times New Roman"/>
          <w:sz w:val="28"/>
          <w:szCs w:val="28"/>
          <w:lang w:val="ru-RU"/>
        </w:rPr>
        <w:t xml:space="preserve">     На основании наглядно-действенного мышления формируется более сложная форма мышления – наглядно-образное. Оно характеризуется тем, что ребёнок уже может решать задачи на основе представлений, без применения практических действий.</w:t>
      </w:r>
      <w:r w:rsidRPr="001714F8">
        <w:rPr>
          <w:rFonts w:ascii="Times New Roman" w:hAnsi="Times New Roman"/>
          <w:sz w:val="28"/>
          <w:szCs w:val="28"/>
          <w:lang w:val="ru-RU"/>
        </w:rPr>
        <w:br/>
        <w:t xml:space="preserve"> </w:t>
      </w:r>
      <w:r w:rsidRPr="001714F8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 6 – 7 </w:t>
      </w:r>
      <w:proofErr w:type="spellStart"/>
      <w:r>
        <w:rPr>
          <w:rFonts w:ascii="Times New Roman" w:hAnsi="Times New Roman"/>
          <w:sz w:val="28"/>
          <w:szCs w:val="28"/>
        </w:rPr>
        <w:t>годам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начинается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более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интенсивное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словесно-логического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которое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связано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использованием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преобразованием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Однако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ведущим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данном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возрасте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наглядно-образное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мышление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36EA" w:rsidRDefault="001714F8">
      <w:pPr>
        <w:pStyle w:val="a5"/>
        <w:spacing w:after="0" w:line="360" w:lineRule="auto"/>
        <w:jc w:val="both"/>
        <w:rPr>
          <w:rFonts w:ascii="inherit" w:hAnsi="inherit" w:hint="eastAsia"/>
          <w:sz w:val="18"/>
        </w:rPr>
      </w:pPr>
      <w:r>
        <w:rPr>
          <w:rFonts w:ascii="inherit" w:hAnsi="inherit"/>
          <w:noProof/>
          <w:sz w:val="18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40255" cy="303974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sz w:val="18"/>
        </w:rPr>
        <w:br/>
      </w:r>
    </w:p>
    <w:sectPr w:rsidR="007D36E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18D"/>
    <w:multiLevelType w:val="multilevel"/>
    <w:tmpl w:val="DFB6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D744D"/>
    <w:multiLevelType w:val="multilevel"/>
    <w:tmpl w:val="206C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E83193"/>
    <w:multiLevelType w:val="multilevel"/>
    <w:tmpl w:val="2CDA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A44FD0"/>
    <w:multiLevelType w:val="multilevel"/>
    <w:tmpl w:val="47724ED4"/>
    <w:lvl w:ilvl="0">
      <w:start w:val="1"/>
      <w:numFmt w:val="bullet"/>
      <w:suff w:val="nothing"/>
      <w:lvlText w:val=""/>
      <w:lvlJc w:val="left"/>
      <w:pPr>
        <w:tabs>
          <w:tab w:val="num" w:pos="240"/>
        </w:tabs>
        <w:ind w:left="24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2BAD4902"/>
    <w:multiLevelType w:val="multilevel"/>
    <w:tmpl w:val="3F4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97357B"/>
    <w:multiLevelType w:val="multilevel"/>
    <w:tmpl w:val="FCCA72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A70F96"/>
    <w:multiLevelType w:val="multilevel"/>
    <w:tmpl w:val="4102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A"/>
    <w:rsid w:val="001714F8"/>
    <w:rsid w:val="007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5807A-D876-4FF5-9A20-B1BC25D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2022-10-18T14:01:00Z</dcterms:created>
  <dcterms:modified xsi:type="dcterms:W3CDTF">2022-10-18T14:01:00Z</dcterms:modified>
  <dc:language>ru-RU</dc:language>
</cp:coreProperties>
</file>