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89" w:rsidRPr="008B2A3F" w:rsidRDefault="00833E89" w:rsidP="00833E89">
      <w:pPr>
        <w:pStyle w:val="a5"/>
      </w:pPr>
      <w:r w:rsidRPr="0006607B">
        <w:t xml:space="preserve">ЭКСПЕРТНОЕ ЗАКЛЮЧЕНИЕ </w:t>
      </w:r>
      <w:r w:rsidRPr="00731044">
        <w:t xml:space="preserve">№  </w:t>
      </w:r>
      <w:r w:rsidR="00161DA5">
        <w:t>154</w:t>
      </w:r>
    </w:p>
    <w:p w:rsidR="00833E89" w:rsidRPr="0006607B" w:rsidRDefault="00833E89" w:rsidP="00833E89">
      <w:pPr>
        <w:pStyle w:val="a5"/>
      </w:pPr>
      <w:r w:rsidRPr="00BC55AC">
        <w:t xml:space="preserve">от </w:t>
      </w:r>
      <w:r w:rsidR="00F46CD0">
        <w:t>1</w:t>
      </w:r>
      <w:r w:rsidR="0069285E">
        <w:t>4</w:t>
      </w:r>
      <w:r w:rsidR="00F46CD0">
        <w:t xml:space="preserve"> декабря</w:t>
      </w:r>
      <w:r w:rsidRPr="00BC55AC">
        <w:t xml:space="preserve"> 201</w:t>
      </w:r>
      <w:r w:rsidR="00161DA5">
        <w:t>5</w:t>
      </w:r>
      <w:r w:rsidRPr="00BC55AC">
        <w:t>г</w:t>
      </w:r>
    </w:p>
    <w:p w:rsidR="008561AA" w:rsidRPr="0006607B" w:rsidRDefault="008561AA" w:rsidP="00AB2814">
      <w:pPr>
        <w:pStyle w:val="a5"/>
      </w:pPr>
    </w:p>
    <w:p w:rsidR="009015C1" w:rsidRDefault="00417CDE" w:rsidP="009015C1">
      <w:pPr>
        <w:pStyle w:val="a5"/>
      </w:pPr>
      <w:r w:rsidRPr="0006607B">
        <w:t xml:space="preserve">Департамента </w:t>
      </w:r>
      <w:r w:rsidR="008561AA" w:rsidRPr="0006607B">
        <w:t>Смоленской области</w:t>
      </w:r>
      <w:r w:rsidRPr="0006607B">
        <w:t xml:space="preserve"> по </w:t>
      </w:r>
      <w:r w:rsidR="00EF4A51" w:rsidRPr="0006607B">
        <w:t xml:space="preserve">энергетике, энергоэффективности, </w:t>
      </w:r>
      <w:r w:rsidRPr="0006607B">
        <w:t xml:space="preserve">тарифной политике </w:t>
      </w:r>
      <w:r w:rsidR="00AB2814" w:rsidRPr="008B2A3F">
        <w:t>по установлению долгосрочных параметров регулирования</w:t>
      </w:r>
      <w:r w:rsidR="00AB2814" w:rsidRPr="0006607B">
        <w:t xml:space="preserve"> и индивидуальных тарифов на услуги по передаче электрической энергии </w:t>
      </w:r>
      <w:r w:rsidR="005E0AD1">
        <w:t>для взаиморасчетов между сетевыми организациями п</w:t>
      </w:r>
      <w:r w:rsidR="00AB2814" w:rsidRPr="0006607B">
        <w:t xml:space="preserve">о электрическим сетям </w:t>
      </w:r>
      <w:r w:rsidR="00C52C40">
        <w:t xml:space="preserve"> </w:t>
      </w:r>
      <w:r w:rsidR="005E0AD1">
        <w:br/>
      </w:r>
      <w:r w:rsidR="00A66B38">
        <w:t>ООО «Прогресс плюс</w:t>
      </w:r>
      <w:r w:rsidR="009015C1">
        <w:t>»</w:t>
      </w:r>
      <w:r w:rsidR="00B15DDC">
        <w:t xml:space="preserve"> </w:t>
      </w:r>
      <w:proofErr w:type="gramStart"/>
      <w:r w:rsidR="00B15DDC">
        <w:t>г</w:t>
      </w:r>
      <w:proofErr w:type="gramEnd"/>
      <w:r w:rsidR="00B15DDC">
        <w:t>. Рославль</w:t>
      </w:r>
    </w:p>
    <w:p w:rsidR="00CD4987" w:rsidRDefault="00CD4987" w:rsidP="00AB2814">
      <w:pPr>
        <w:pStyle w:val="a5"/>
      </w:pPr>
    </w:p>
    <w:p w:rsidR="002424D9" w:rsidRDefault="002424D9" w:rsidP="002424D9">
      <w:pPr>
        <w:widowControl w:val="0"/>
        <w:ind w:firstLine="709"/>
        <w:jc w:val="both"/>
      </w:pPr>
      <w:r>
        <w:t>С</w:t>
      </w:r>
      <w:r w:rsidRPr="0006607B">
        <w:t xml:space="preserve">огласно приказу Департамента Смоленской области по энергетике, энергоэффективности, тарифной политике </w:t>
      </w:r>
      <w:r w:rsidR="0080146F">
        <w:t xml:space="preserve">от </w:t>
      </w:r>
      <w:r w:rsidR="00161DA5">
        <w:t>08.05.2015</w:t>
      </w:r>
      <w:r w:rsidR="00084A16">
        <w:t xml:space="preserve"> № </w:t>
      </w:r>
      <w:r w:rsidR="00161DA5">
        <w:t>154</w:t>
      </w:r>
      <w:r w:rsidR="001943EE" w:rsidRPr="008B2A3F">
        <w:t xml:space="preserve">-од </w:t>
      </w:r>
      <w:r w:rsidRPr="008B2A3F">
        <w:t>«О</w:t>
      </w:r>
      <w:r w:rsidRPr="0006607B">
        <w:t xml:space="preserve"> начале рассмотрения материалов по установлению  индивидуальных тарифов на услуги по передаче электрической энергии» был рассмотрен индивидуальный тариф на услуги по передаче электрической энергии </w:t>
      </w:r>
      <w:r>
        <w:t xml:space="preserve">для взаиморасчетов между сетевыми организациями </w:t>
      </w:r>
      <w:r w:rsidRPr="0006607B">
        <w:t xml:space="preserve">по электрическим сетям </w:t>
      </w:r>
      <w:r w:rsidRPr="004B14E0">
        <w:t xml:space="preserve"> </w:t>
      </w:r>
      <w:r w:rsidR="00A66B38">
        <w:t>ООО «Прогресс плюс</w:t>
      </w:r>
      <w:r w:rsidR="009015C1">
        <w:t>»</w:t>
      </w:r>
      <w:r w:rsidR="00B15DDC">
        <w:t xml:space="preserve"> </w:t>
      </w:r>
      <w:proofErr w:type="gramStart"/>
      <w:r w:rsidR="00B15DDC">
        <w:t>г</w:t>
      </w:r>
      <w:proofErr w:type="gramEnd"/>
      <w:r w:rsidR="00B15DDC">
        <w:t>. Рославль</w:t>
      </w:r>
      <w:r w:rsidR="00A82804">
        <w:t>.</w:t>
      </w:r>
    </w:p>
    <w:p w:rsidR="008561AA" w:rsidRPr="0006607B" w:rsidRDefault="00BA1EBA" w:rsidP="00DE04B8">
      <w:pPr>
        <w:ind w:firstLine="709"/>
        <w:jc w:val="both"/>
      </w:pPr>
      <w:r>
        <w:t xml:space="preserve"> </w:t>
      </w:r>
      <w:r w:rsidRPr="0006607B">
        <w:t>Экспертн</w:t>
      </w:r>
      <w:r>
        <w:t>ый</w:t>
      </w:r>
      <w:r w:rsidRPr="0006607B">
        <w:t xml:space="preserve"> совет </w:t>
      </w:r>
      <w:r w:rsidR="007C0825" w:rsidRPr="0006607B">
        <w:t>р</w:t>
      </w:r>
      <w:r w:rsidR="008561AA" w:rsidRPr="0006607B">
        <w:t>уководствовал</w:t>
      </w:r>
      <w:r w:rsidR="00731044">
        <w:t>ся</w:t>
      </w:r>
      <w:r w:rsidR="008561AA" w:rsidRPr="0006607B">
        <w:t xml:space="preserve"> основными принципами государственного регулирования тарифов, предусмотренными действующим законодательством.</w:t>
      </w:r>
    </w:p>
    <w:p w:rsidR="008561AA" w:rsidRPr="0006607B" w:rsidRDefault="008561AA" w:rsidP="008561AA">
      <w:pPr>
        <w:ind w:firstLine="540"/>
        <w:jc w:val="both"/>
      </w:pPr>
      <w:r w:rsidRPr="0006607B">
        <w:t>Методические основы проведения экспертных работ:</w:t>
      </w:r>
    </w:p>
    <w:p w:rsidR="008561AA" w:rsidRPr="0006607B" w:rsidRDefault="008561AA" w:rsidP="008561AA">
      <w:pPr>
        <w:numPr>
          <w:ilvl w:val="0"/>
          <w:numId w:val="2"/>
        </w:numPr>
        <w:tabs>
          <w:tab w:val="clear" w:pos="397"/>
          <w:tab w:val="left" w:pos="0"/>
          <w:tab w:val="num" w:pos="540"/>
          <w:tab w:val="left" w:pos="9900"/>
        </w:tabs>
        <w:jc w:val="both"/>
      </w:pPr>
      <w:r w:rsidRPr="0006607B">
        <w:t>Налог</w:t>
      </w:r>
      <w:r w:rsidRPr="0006607B">
        <w:t>о</w:t>
      </w:r>
      <w:r w:rsidRPr="0006607B">
        <w:t>вый кодекс Российской Федерации;</w:t>
      </w:r>
    </w:p>
    <w:p w:rsidR="008561AA" w:rsidRPr="0006607B" w:rsidRDefault="008561AA" w:rsidP="008561AA">
      <w:pPr>
        <w:numPr>
          <w:ilvl w:val="0"/>
          <w:numId w:val="2"/>
        </w:numPr>
        <w:tabs>
          <w:tab w:val="clear" w:pos="397"/>
          <w:tab w:val="left" w:pos="0"/>
          <w:tab w:val="num" w:pos="540"/>
          <w:tab w:val="left" w:pos="9900"/>
        </w:tabs>
        <w:jc w:val="both"/>
      </w:pPr>
      <w:r w:rsidRPr="0006607B">
        <w:t>Федеральный закон от 26.03.2003 № 35-ФЗ «Об электроэнергетике»;</w:t>
      </w:r>
    </w:p>
    <w:p w:rsidR="008561AA" w:rsidRPr="00CD277B" w:rsidRDefault="008561AA" w:rsidP="00A30B4E">
      <w:pPr>
        <w:numPr>
          <w:ilvl w:val="0"/>
          <w:numId w:val="1"/>
        </w:numPr>
        <w:tabs>
          <w:tab w:val="clear" w:pos="397"/>
          <w:tab w:val="num" w:pos="540"/>
          <w:tab w:val="num" w:pos="567"/>
        </w:tabs>
        <w:ind w:left="540" w:hanging="540"/>
        <w:jc w:val="both"/>
      </w:pPr>
      <w:r w:rsidRPr="0006607B">
        <w:t>Постановление Правительства от 2</w:t>
      </w:r>
      <w:r w:rsidR="004E2B47">
        <w:t>9</w:t>
      </w:r>
      <w:r w:rsidRPr="0006607B">
        <w:t>.</w:t>
      </w:r>
      <w:r w:rsidR="004E2B47">
        <w:t>12</w:t>
      </w:r>
      <w:r w:rsidRPr="0006607B">
        <w:t>.20</w:t>
      </w:r>
      <w:r w:rsidR="004E2B47">
        <w:t>11</w:t>
      </w:r>
      <w:r w:rsidRPr="0006607B">
        <w:t xml:space="preserve"> № 1</w:t>
      </w:r>
      <w:r w:rsidR="004E2B47">
        <w:t>178</w:t>
      </w:r>
      <w:r w:rsidRPr="0006607B">
        <w:t xml:space="preserve"> «О ценообразовании в </w:t>
      </w:r>
      <w:r w:rsidR="004E2B47">
        <w:t xml:space="preserve">области </w:t>
      </w:r>
      <w:r w:rsidR="004E2B47" w:rsidRPr="00CD277B">
        <w:t>регулируемых цен (тарифов) в электроэнергетике</w:t>
      </w:r>
      <w:r w:rsidRPr="00CD277B">
        <w:t>» (далее – Основы ценообразования);</w:t>
      </w:r>
    </w:p>
    <w:p w:rsidR="004F6F04" w:rsidRPr="00CD277B" w:rsidRDefault="008561AA" w:rsidP="00A30B4E">
      <w:pPr>
        <w:numPr>
          <w:ilvl w:val="0"/>
          <w:numId w:val="1"/>
        </w:numPr>
        <w:tabs>
          <w:tab w:val="clear" w:pos="397"/>
          <w:tab w:val="num" w:pos="540"/>
          <w:tab w:val="num" w:pos="567"/>
        </w:tabs>
        <w:ind w:left="540" w:hanging="540"/>
        <w:jc w:val="both"/>
      </w:pPr>
      <w:r w:rsidRPr="00CD277B">
        <w:t xml:space="preserve">Приказ Федеральной службы по тарифам от </w:t>
      </w:r>
      <w:r w:rsidR="00084A16">
        <w:t>17.02.2012</w:t>
      </w:r>
      <w:r w:rsidRPr="00CD277B">
        <w:t xml:space="preserve"> № </w:t>
      </w:r>
      <w:r w:rsidR="00CD277B" w:rsidRPr="00CD277B">
        <w:t>98-э</w:t>
      </w:r>
      <w:r w:rsidRPr="00CD277B">
        <w:t xml:space="preserve"> «Об утверждении </w:t>
      </w:r>
      <w:r w:rsidR="00CD277B" w:rsidRPr="00CD277B">
        <w:t>М</w:t>
      </w:r>
      <w:r w:rsidRPr="00CD277B">
        <w:t xml:space="preserve">етодических указаний по расчету </w:t>
      </w:r>
      <w:r w:rsidR="00923CE9" w:rsidRPr="00CD277B">
        <w:t xml:space="preserve">тарифов на услуги по передаче электрической энергии по сетям, </w:t>
      </w:r>
      <w:r w:rsidR="00CD277B" w:rsidRPr="00CD277B">
        <w:t>устанавливаемых с применением метода долгосрочной индексации необходимой валовой выручки»</w:t>
      </w:r>
      <w:r w:rsidRPr="00CD277B">
        <w:t xml:space="preserve"> (далее – Методические указания);</w:t>
      </w:r>
      <w:r w:rsidR="00EF4A51" w:rsidRPr="00CD277B">
        <w:t xml:space="preserve"> </w:t>
      </w:r>
    </w:p>
    <w:p w:rsidR="00833E89" w:rsidRDefault="00833E89" w:rsidP="00833E89">
      <w:pPr>
        <w:numPr>
          <w:ilvl w:val="0"/>
          <w:numId w:val="1"/>
        </w:numPr>
        <w:tabs>
          <w:tab w:val="clear" w:pos="397"/>
          <w:tab w:val="num" w:pos="540"/>
          <w:tab w:val="num" w:pos="1324"/>
        </w:tabs>
        <w:ind w:left="540" w:hanging="540"/>
        <w:jc w:val="both"/>
      </w:pPr>
      <w:r w:rsidRPr="00084A16">
        <w:t>Приказ Федеральной службы по тарифам от 6.08.2004 № 20-э/2 «Об утверждении методических указаний по расчету регулируемых тарифов и цен на электрическую (тепловую энергию на розничном (потребительском) рынке» (далее – Методические указания);</w:t>
      </w:r>
    </w:p>
    <w:p w:rsidR="00FA7F51" w:rsidRDefault="00FA7F51" w:rsidP="00833E89">
      <w:pPr>
        <w:numPr>
          <w:ilvl w:val="0"/>
          <w:numId w:val="1"/>
        </w:numPr>
        <w:tabs>
          <w:tab w:val="clear" w:pos="397"/>
          <w:tab w:val="num" w:pos="540"/>
          <w:tab w:val="num" w:pos="1324"/>
        </w:tabs>
        <w:ind w:left="540" w:hanging="540"/>
        <w:jc w:val="both"/>
      </w:pPr>
      <w:r w:rsidRPr="007108B6">
        <w:t>Постановление Правительства РФ от 31.12.2009 № 1220 «Об определении применяемых при установлении долгосрочных тарифов показателей надежности и качества поставляемых товаров и оказываемых услуг»;</w:t>
      </w:r>
    </w:p>
    <w:p w:rsidR="00161DA5" w:rsidRPr="00084A16" w:rsidRDefault="00161DA5" w:rsidP="00833E89">
      <w:pPr>
        <w:numPr>
          <w:ilvl w:val="0"/>
          <w:numId w:val="1"/>
        </w:numPr>
        <w:tabs>
          <w:tab w:val="clear" w:pos="397"/>
          <w:tab w:val="num" w:pos="0"/>
        </w:tabs>
        <w:autoSpaceDE w:val="0"/>
        <w:autoSpaceDN w:val="0"/>
        <w:adjustRightInd w:val="0"/>
        <w:ind w:left="540" w:hanging="540"/>
        <w:jc w:val="both"/>
      </w:pPr>
      <w:r>
        <w:t xml:space="preserve">Постановление Правительства РФ от 28.02.2015 </w:t>
      </w:r>
      <w:r w:rsidR="00440120">
        <w:t>№</w:t>
      </w:r>
      <w:r>
        <w:t xml:space="preserve"> 184 «Об отнесении владельцев объектов электросетевого хозяйства к территориальным сетевым организациям»;</w:t>
      </w:r>
    </w:p>
    <w:p w:rsidR="008561AA" w:rsidRPr="0006607B" w:rsidRDefault="008561AA" w:rsidP="00A30B4E">
      <w:pPr>
        <w:pStyle w:val="a3"/>
        <w:numPr>
          <w:ilvl w:val="0"/>
          <w:numId w:val="1"/>
        </w:numPr>
        <w:tabs>
          <w:tab w:val="clear" w:pos="397"/>
          <w:tab w:val="num" w:pos="540"/>
        </w:tabs>
        <w:ind w:left="540" w:hanging="540"/>
      </w:pPr>
      <w:r w:rsidRPr="0006607B">
        <w:t>Прочие законы и подзаконные акты, методические разработки и подходы, действующие в отношении сферы и предмета государственного регулирования тарифов на продукцию (услуги) в электроэнергетической отрасли.</w:t>
      </w:r>
    </w:p>
    <w:p w:rsidR="008561AA" w:rsidRPr="0006607B" w:rsidRDefault="008561AA" w:rsidP="00DE04B8">
      <w:pPr>
        <w:widowControl w:val="0"/>
        <w:ind w:firstLine="709"/>
        <w:jc w:val="both"/>
      </w:pPr>
      <w:bookmarkStart w:id="0" w:name="_Toc86654868"/>
      <w:r w:rsidRPr="0006607B">
        <w:t>Критерием экспертизы являются нормативно-правовые акты, определяющие порядок ценообразования и тарифную политику по регулируемой деятельности, а также указания, инструкции, правила и нормы технической эксплуатации объектов и другие документы, обяз</w:t>
      </w:r>
      <w:r w:rsidRPr="0006607B">
        <w:t>а</w:t>
      </w:r>
      <w:r w:rsidRPr="0006607B">
        <w:t>тельные для исполнения хозяйствующими субъектами.</w:t>
      </w:r>
    </w:p>
    <w:bookmarkEnd w:id="0"/>
    <w:p w:rsidR="008561AA" w:rsidRPr="0006607B" w:rsidRDefault="0064447F" w:rsidP="00A326EE">
      <w:pPr>
        <w:tabs>
          <w:tab w:val="left" w:pos="9900"/>
        </w:tabs>
        <w:ind w:firstLine="709"/>
        <w:jc w:val="both"/>
      </w:pPr>
      <w:r w:rsidRPr="0006607B">
        <w:t xml:space="preserve">Экспертным советом </w:t>
      </w:r>
      <w:r w:rsidR="008561AA" w:rsidRPr="0006607B">
        <w:t>проведена экспертиза</w:t>
      </w:r>
      <w:r w:rsidR="007E30CB">
        <w:t xml:space="preserve"> расчета</w:t>
      </w:r>
      <w:r w:rsidR="008561AA" w:rsidRPr="0006607B">
        <w:t xml:space="preserve">: </w:t>
      </w:r>
    </w:p>
    <w:p w:rsidR="008561AA" w:rsidRPr="0006607B" w:rsidRDefault="008561AA" w:rsidP="008561AA">
      <w:pPr>
        <w:numPr>
          <w:ilvl w:val="0"/>
          <w:numId w:val="3"/>
        </w:numPr>
        <w:tabs>
          <w:tab w:val="left" w:pos="9900"/>
        </w:tabs>
        <w:jc w:val="both"/>
      </w:pPr>
      <w:r w:rsidRPr="0006607B">
        <w:t>общей суммы условных единиц по сетям и распределение их по уровням напряжений</w:t>
      </w:r>
      <w:r w:rsidR="00FA7F51">
        <w:t>;</w:t>
      </w:r>
    </w:p>
    <w:p w:rsidR="008561AA" w:rsidRPr="0006607B" w:rsidRDefault="008561AA" w:rsidP="008561AA">
      <w:pPr>
        <w:numPr>
          <w:ilvl w:val="0"/>
          <w:numId w:val="3"/>
        </w:numPr>
        <w:tabs>
          <w:tab w:val="left" w:pos="9900"/>
        </w:tabs>
        <w:jc w:val="both"/>
      </w:pPr>
      <w:r w:rsidRPr="0006607B">
        <w:t>необходимой валовой выручки по содержанию электрических сетей;</w:t>
      </w:r>
    </w:p>
    <w:p w:rsidR="008561AA" w:rsidRPr="0006607B" w:rsidRDefault="008561AA" w:rsidP="008561AA">
      <w:pPr>
        <w:numPr>
          <w:ilvl w:val="0"/>
          <w:numId w:val="3"/>
        </w:numPr>
        <w:jc w:val="both"/>
      </w:pPr>
      <w:r w:rsidRPr="0006607B">
        <w:t xml:space="preserve">расходов на оплату потерь (технологического расхода) электрической </w:t>
      </w:r>
      <w:r w:rsidR="00D4417D" w:rsidRPr="0006607B">
        <w:t>энергии на ее передачу по сетям</w:t>
      </w:r>
      <w:r w:rsidR="00FA7F51">
        <w:t>;</w:t>
      </w:r>
    </w:p>
    <w:p w:rsidR="008561AA" w:rsidRDefault="008561AA" w:rsidP="008561AA">
      <w:pPr>
        <w:numPr>
          <w:ilvl w:val="0"/>
          <w:numId w:val="3"/>
        </w:numPr>
        <w:jc w:val="both"/>
      </w:pPr>
      <w:r w:rsidRPr="0006607B">
        <w:t>индивидуальных тарифов на услуги по передаче электрической энергии по сетям</w:t>
      </w:r>
      <w:r w:rsidR="00FA7F51">
        <w:t>;</w:t>
      </w:r>
    </w:p>
    <w:p w:rsidR="00A72845" w:rsidRDefault="00A72845" w:rsidP="00A72845">
      <w:pPr>
        <w:numPr>
          <w:ilvl w:val="0"/>
          <w:numId w:val="3"/>
        </w:numPr>
        <w:jc w:val="both"/>
      </w:pPr>
      <w:r w:rsidRPr="007108B6">
        <w:t>показателей уровня надежности оказываемых услуг и уровня качества оказываемых услуг, учитываемых при расчете тарифов на услуги по передаче электрической энергии</w:t>
      </w:r>
      <w:r>
        <w:t>;</w:t>
      </w:r>
    </w:p>
    <w:p w:rsidR="00FA7F51" w:rsidRPr="0006607B" w:rsidRDefault="00FA7F51" w:rsidP="00A72845">
      <w:pPr>
        <w:numPr>
          <w:ilvl w:val="0"/>
          <w:numId w:val="3"/>
        </w:numPr>
        <w:jc w:val="both"/>
      </w:pPr>
      <w:r w:rsidRPr="007108B6">
        <w:t>показателей уровня надежности оказываемых услуг и уровня качества оказываемых услуг, учитываемых при расчете тарифов на услуги по передаче электрической энергии</w:t>
      </w:r>
      <w:r>
        <w:t>;</w:t>
      </w:r>
    </w:p>
    <w:p w:rsidR="006C12E8" w:rsidRPr="0006607B" w:rsidRDefault="006C12E8" w:rsidP="006C12E8">
      <w:pPr>
        <w:numPr>
          <w:ilvl w:val="0"/>
          <w:numId w:val="3"/>
        </w:numPr>
        <w:ind w:left="0" w:firstLine="0"/>
        <w:jc w:val="both"/>
      </w:pPr>
      <w:r>
        <w:lastRenderedPageBreak/>
        <w:t xml:space="preserve">фактических значений </w:t>
      </w:r>
      <w:r w:rsidRPr="0006607B">
        <w:t xml:space="preserve">показателей уровня  </w:t>
      </w:r>
      <w:r w:rsidRPr="0006607B">
        <w:rPr>
          <w:bCs/>
        </w:rPr>
        <w:t>надежности оказываемых услуг и</w:t>
      </w:r>
      <w:r w:rsidRPr="0006607B">
        <w:t xml:space="preserve"> </w:t>
      </w:r>
      <w:r w:rsidRPr="0006607B">
        <w:rPr>
          <w:bCs/>
        </w:rPr>
        <w:t xml:space="preserve">уровня качества оказываемых услуг </w:t>
      </w:r>
      <w:r w:rsidRPr="0006607B">
        <w:t>учитываемых при расчете тарифов на услуги по передаче электрической энергии.</w:t>
      </w:r>
    </w:p>
    <w:p w:rsidR="00084A16" w:rsidRDefault="00084A16" w:rsidP="00833E89">
      <w:pPr>
        <w:tabs>
          <w:tab w:val="left" w:pos="9900"/>
        </w:tabs>
        <w:ind w:firstLine="397"/>
        <w:jc w:val="both"/>
      </w:pPr>
    </w:p>
    <w:p w:rsidR="00084A16" w:rsidRPr="0006607B" w:rsidRDefault="00084A16" w:rsidP="00084A16">
      <w:pPr>
        <w:jc w:val="both"/>
      </w:pPr>
      <w:r>
        <w:tab/>
      </w:r>
      <w:proofErr w:type="gramStart"/>
      <w:r w:rsidRPr="0006607B">
        <w:t>Индивидуальные тарифы на услуги по передаче электрической энергии рассчит</w:t>
      </w:r>
      <w:r w:rsidRPr="0006607B">
        <w:t>ы</w:t>
      </w:r>
      <w:r w:rsidRPr="0006607B">
        <w:t>вались на осн</w:t>
      </w:r>
      <w:r>
        <w:t xml:space="preserve">ове затрат </w:t>
      </w:r>
      <w:r w:rsidRPr="0006607B">
        <w:t xml:space="preserve">энергоснабжающей организации, запланированных и принятых при утверждении тарифов </w:t>
      </w:r>
      <w:r w:rsidRPr="008B2A3F">
        <w:t>на 201</w:t>
      </w:r>
      <w:r w:rsidR="00F46CD0">
        <w:t>5</w:t>
      </w:r>
      <w:r w:rsidRPr="008B2A3F">
        <w:t xml:space="preserve"> год</w:t>
      </w:r>
      <w:r w:rsidRPr="0006607B">
        <w:t>, с учетом Сценарных условий</w:t>
      </w:r>
      <w:r>
        <w:t xml:space="preserve">, </w:t>
      </w:r>
      <w:r w:rsidRPr="0006607B">
        <w:t xml:space="preserve">основных параметров прогноза социально-экономического развития Российской Федерации </w:t>
      </w:r>
      <w:r>
        <w:t xml:space="preserve"> и предельных уровней цен (тарифов) на услуги компаний инфраструктурного сектора </w:t>
      </w:r>
      <w:r w:rsidRPr="0006607B">
        <w:t>на 201</w:t>
      </w:r>
      <w:r w:rsidR="00161DA5">
        <w:t>6</w:t>
      </w:r>
      <w:r w:rsidRPr="0006607B">
        <w:t xml:space="preserve"> год и плановый период 201</w:t>
      </w:r>
      <w:r>
        <w:t>6</w:t>
      </w:r>
      <w:r w:rsidRPr="0006607B">
        <w:t xml:space="preserve"> </w:t>
      </w:r>
      <w:r w:rsidR="00A72845">
        <w:t>-</w:t>
      </w:r>
      <w:r w:rsidRPr="0006607B">
        <w:t xml:space="preserve"> 201</w:t>
      </w:r>
      <w:r w:rsidR="00A72845">
        <w:t>9</w:t>
      </w:r>
      <w:r w:rsidRPr="0006607B">
        <w:t xml:space="preserve"> годов</w:t>
      </w:r>
      <w:r>
        <w:t xml:space="preserve">. </w:t>
      </w:r>
      <w:proofErr w:type="gramEnd"/>
    </w:p>
    <w:p w:rsidR="00AB2814" w:rsidRPr="0006607B" w:rsidRDefault="00E569D5" w:rsidP="0064447F">
      <w:pPr>
        <w:pStyle w:val="a3"/>
        <w:rPr>
          <w:bCs/>
        </w:rPr>
      </w:pPr>
      <w:r>
        <w:t xml:space="preserve">Экспертами рассматривались и принимались во внимание все представленные документы, имеющие значение для составления доказательного и независимого экспертного заключения. Эксперты исходили из того, что представленная информация является достоверной. Ответственность за достоверность представленных документов несет </w:t>
      </w:r>
      <w:r w:rsidR="00A66B38">
        <w:t>ООО «Прогресс плюс</w:t>
      </w:r>
      <w:r w:rsidR="009015C1">
        <w:t>»</w:t>
      </w:r>
      <w:r w:rsidR="00084A16">
        <w:rPr>
          <w:lang w:val="ru-RU"/>
        </w:rPr>
        <w:t xml:space="preserve">       </w:t>
      </w:r>
      <w:r w:rsidR="00B15DDC">
        <w:t xml:space="preserve"> г. Рославль</w:t>
      </w:r>
      <w:r w:rsidR="00A82804">
        <w:t>.</w:t>
      </w:r>
    </w:p>
    <w:p w:rsidR="00084A16" w:rsidRDefault="00084A16" w:rsidP="00084A16">
      <w:pPr>
        <w:pStyle w:val="a3"/>
        <w:rPr>
          <w:bCs/>
          <w:lang w:val="ru-RU"/>
        </w:rPr>
      </w:pPr>
      <w:r>
        <w:rPr>
          <w:bCs/>
        </w:rPr>
        <w:t xml:space="preserve">Из проведенных Экспертным советом расчетов, следует:  </w:t>
      </w:r>
    </w:p>
    <w:p w:rsidR="00161DA5" w:rsidRDefault="00161DA5" w:rsidP="00161DA5">
      <w:pPr>
        <w:autoSpaceDE w:val="0"/>
        <w:autoSpaceDN w:val="0"/>
        <w:adjustRightInd w:val="0"/>
        <w:ind w:firstLine="540"/>
        <w:jc w:val="both"/>
      </w:pPr>
      <w:r>
        <w:t xml:space="preserve">ООО «Прогресс плюс» </w:t>
      </w:r>
      <w:proofErr w:type="gramStart"/>
      <w:r>
        <w:t>г</w:t>
      </w:r>
      <w:proofErr w:type="gramEnd"/>
      <w:r>
        <w:t>. Рославль</w:t>
      </w:r>
      <w:r>
        <w:rPr>
          <w:bCs/>
        </w:rPr>
        <w:t xml:space="preserve">  соответствует критериям отнесения </w:t>
      </w:r>
      <w:r>
        <w:t>владельцев объектов электросетевого хозяйства к территориальным сетевым организациям.</w:t>
      </w:r>
    </w:p>
    <w:p w:rsidR="00161DA5" w:rsidRPr="00161DA5" w:rsidRDefault="00161DA5" w:rsidP="00084A16">
      <w:pPr>
        <w:pStyle w:val="a3"/>
        <w:rPr>
          <w:bCs/>
          <w:lang w:val="ru-RU"/>
        </w:rPr>
      </w:pPr>
    </w:p>
    <w:p w:rsidR="00084A16" w:rsidRDefault="00084A16" w:rsidP="00084A16">
      <w:pPr>
        <w:pStyle w:val="a3"/>
        <w:numPr>
          <w:ilvl w:val="0"/>
          <w:numId w:val="10"/>
        </w:numPr>
        <w:ind w:left="0" w:firstLine="709"/>
        <w:rPr>
          <w:bCs/>
        </w:rPr>
      </w:pPr>
      <w:r w:rsidRPr="0006607B">
        <w:rPr>
          <w:bCs/>
        </w:rPr>
        <w:t>Объем финансовых средств, необходимых организации для осуществления деятельности по содержанию электрических сетей в течение долгосрочного периода регулирования</w:t>
      </w:r>
      <w:r>
        <w:rPr>
          <w:bCs/>
        </w:rPr>
        <w:t xml:space="preserve"> – таблица 1;</w:t>
      </w:r>
    </w:p>
    <w:p w:rsidR="00084A16" w:rsidRPr="007F1773" w:rsidRDefault="00084A16" w:rsidP="00084A16">
      <w:pPr>
        <w:pStyle w:val="a3"/>
        <w:ind w:firstLine="426"/>
        <w:rPr>
          <w:bCs/>
        </w:rPr>
      </w:pPr>
      <w:r>
        <w:t>Т</w:t>
      </w:r>
      <w:r w:rsidRPr="005E1188">
        <w:t>ехнико-экономические показатели по организации</w:t>
      </w:r>
      <w:r>
        <w:t>, учтенные в тарифно-балансовом решении – таблица 2.</w:t>
      </w:r>
    </w:p>
    <w:p w:rsidR="00084A16" w:rsidRDefault="00084A16" w:rsidP="00084A16">
      <w:pPr>
        <w:pStyle w:val="a3"/>
        <w:ind w:firstLine="709"/>
        <w:rPr>
          <w:lang w:val="ru-RU"/>
        </w:rPr>
      </w:pPr>
      <w:r>
        <w:t>2) Балансовые показатели для расчета приняты согласно приложению 1.</w:t>
      </w:r>
    </w:p>
    <w:p w:rsidR="00084A16" w:rsidRPr="000324DA" w:rsidRDefault="00084A16" w:rsidP="00084A16">
      <w:pPr>
        <w:pStyle w:val="a3"/>
        <w:ind w:firstLine="709"/>
      </w:pPr>
      <w:r w:rsidRPr="000324DA">
        <w:t>3) Плановые показатели уровня надежности и уровня качества оказываемых услуг, учитываемых при расчете тарифов на услуги по передаче электрической энергии, на каждый расчетный период регулирования в пределах долгосрочного периода регулирования приняты согласно приложению 3.</w:t>
      </w:r>
    </w:p>
    <w:p w:rsidR="00084A16" w:rsidRPr="000324DA" w:rsidRDefault="00084A16" w:rsidP="00084A16">
      <w:pPr>
        <w:pStyle w:val="a3"/>
        <w:ind w:firstLine="709"/>
      </w:pPr>
      <w:r w:rsidRPr="000324DA">
        <w:t>4) Плановые значения параметров (критериев), характеризующих индикаторы качества, на каждый расчетный период регулирования в пределах долгосрочного периода регулирования приняты согласно приложению 4.</w:t>
      </w:r>
    </w:p>
    <w:p w:rsidR="00084A16" w:rsidRDefault="00084A16" w:rsidP="00084A16">
      <w:pPr>
        <w:pStyle w:val="a3"/>
        <w:ind w:firstLine="709"/>
      </w:pPr>
      <w:r w:rsidRPr="00BA1EBA">
        <w:t>Экспертизой установлен суммарный расчетный объем тарифной выручки на период регулирования, требуемой для компенсации затрат на услуги по передаче электрической энергии, обеспечена необх</w:t>
      </w:r>
      <w:r w:rsidRPr="00BA1EBA">
        <w:t>о</w:t>
      </w:r>
      <w:r w:rsidRPr="00BA1EBA">
        <w:t>димая прибыль и средства для уплаты всех налогов и иных платежей в соответствии с действу</w:t>
      </w:r>
      <w:r w:rsidRPr="00BA1EBA">
        <w:t>ю</w:t>
      </w:r>
      <w:r w:rsidRPr="00BA1EBA">
        <w:t xml:space="preserve">щим законодательством. </w:t>
      </w:r>
    </w:p>
    <w:p w:rsidR="0069285E" w:rsidRDefault="0069285E" w:rsidP="00084A16">
      <w:pPr>
        <w:widowControl w:val="0"/>
        <w:ind w:firstLine="709"/>
        <w:jc w:val="both"/>
      </w:pPr>
    </w:p>
    <w:p w:rsidR="00084A16" w:rsidRDefault="00084A16" w:rsidP="00084A16">
      <w:pPr>
        <w:widowControl w:val="0"/>
        <w:ind w:firstLine="709"/>
        <w:jc w:val="both"/>
      </w:pPr>
      <w:r w:rsidRPr="0006607B">
        <w:t xml:space="preserve">На основании </w:t>
      </w:r>
      <w:proofErr w:type="gramStart"/>
      <w:r w:rsidRPr="0006607B">
        <w:t>вышеизложенного</w:t>
      </w:r>
      <w:proofErr w:type="gramEnd"/>
      <w:r w:rsidRPr="0006607B">
        <w:t xml:space="preserve">, Экспертный Совет </w:t>
      </w:r>
    </w:p>
    <w:p w:rsidR="0069285E" w:rsidRDefault="0069285E" w:rsidP="00084A16">
      <w:pPr>
        <w:widowControl w:val="0"/>
        <w:ind w:firstLine="709"/>
        <w:jc w:val="center"/>
        <w:rPr>
          <w:b/>
        </w:rPr>
      </w:pPr>
    </w:p>
    <w:p w:rsidR="00084A16" w:rsidRDefault="00084A16" w:rsidP="00084A16">
      <w:pPr>
        <w:widowControl w:val="0"/>
        <w:ind w:firstLine="709"/>
        <w:jc w:val="center"/>
        <w:rPr>
          <w:b/>
        </w:rPr>
      </w:pPr>
      <w:r w:rsidRPr="0006607B">
        <w:rPr>
          <w:b/>
        </w:rPr>
        <w:t>РЕШИЛ:</w:t>
      </w:r>
    </w:p>
    <w:p w:rsidR="0069285E" w:rsidRPr="0006607B" w:rsidRDefault="0069285E" w:rsidP="00084A16">
      <w:pPr>
        <w:widowControl w:val="0"/>
        <w:ind w:firstLine="709"/>
        <w:jc w:val="center"/>
        <w:rPr>
          <w:b/>
        </w:rPr>
      </w:pPr>
    </w:p>
    <w:p w:rsidR="00084A16" w:rsidRPr="0006607B" w:rsidRDefault="00084A16" w:rsidP="00084A16">
      <w:pPr>
        <w:widowControl w:val="0"/>
        <w:ind w:firstLine="720"/>
        <w:jc w:val="both"/>
      </w:pPr>
      <w:r w:rsidRPr="0006607B">
        <w:t>Предложить Правлению Департамента Смоленской области по энергетике, энергоэффективности, тарифной политике на основании проведенных расчетов и анализа принять на п</w:t>
      </w:r>
      <w:r w:rsidRPr="0006607B">
        <w:t>е</w:t>
      </w:r>
      <w:r w:rsidRPr="0006607B">
        <w:t>риод регулирования:</w:t>
      </w:r>
    </w:p>
    <w:p w:rsidR="00084A16" w:rsidRPr="0006607B" w:rsidRDefault="00084A16" w:rsidP="00084A16">
      <w:pPr>
        <w:widowControl w:val="0"/>
        <w:ind w:firstLine="720"/>
        <w:jc w:val="both"/>
      </w:pPr>
      <w:r w:rsidRPr="0006607B">
        <w:t xml:space="preserve">1. </w:t>
      </w:r>
      <w:r w:rsidR="007E36E3" w:rsidRPr="007E36E3">
        <w:t>Расход электрической энергии (потерь) в электрических сетях, баланс электрической энергии по сетям ВН, СН</w:t>
      </w:r>
      <w:proofErr w:type="gramStart"/>
      <w:r w:rsidR="007E36E3" w:rsidRPr="007E36E3">
        <w:t>1</w:t>
      </w:r>
      <w:proofErr w:type="gramEnd"/>
      <w:r w:rsidR="007E36E3" w:rsidRPr="007E36E3">
        <w:t>, СН2 и НН, заявленную мощность на 2016 год согласно приложению 1;</w:t>
      </w:r>
    </w:p>
    <w:p w:rsidR="00084A16" w:rsidRDefault="00084A16" w:rsidP="00084A16">
      <w:pPr>
        <w:autoSpaceDE w:val="0"/>
        <w:autoSpaceDN w:val="0"/>
        <w:adjustRightInd w:val="0"/>
        <w:ind w:firstLine="720"/>
        <w:jc w:val="both"/>
      </w:pPr>
      <w:r w:rsidRPr="0006607B">
        <w:t>2. Расходы, включаемые в необходимую валовую выручку в доле отпуска потребителям, присоединенным к сетям на 201</w:t>
      </w:r>
      <w:r w:rsidR="00161DA5">
        <w:t>6</w:t>
      </w:r>
      <w:r w:rsidRPr="0006607B">
        <w:t xml:space="preserve"> год </w:t>
      </w:r>
      <w:r>
        <w:t xml:space="preserve">согласно </w:t>
      </w:r>
      <w:r w:rsidRPr="0006607B">
        <w:t>приложени</w:t>
      </w:r>
      <w:r>
        <w:t>ю</w:t>
      </w:r>
      <w:r w:rsidRPr="0006607B">
        <w:t xml:space="preserve"> </w:t>
      </w:r>
      <w:r>
        <w:t>2</w:t>
      </w:r>
      <w:r w:rsidRPr="0006607B">
        <w:t>.</w:t>
      </w:r>
    </w:p>
    <w:p w:rsidR="00084A16" w:rsidRDefault="00084A16" w:rsidP="00084A16">
      <w:pPr>
        <w:autoSpaceDE w:val="0"/>
        <w:autoSpaceDN w:val="0"/>
        <w:adjustRightInd w:val="0"/>
        <w:ind w:firstLine="720"/>
        <w:jc w:val="both"/>
      </w:pPr>
      <w:r>
        <w:t xml:space="preserve">3. </w:t>
      </w:r>
      <w:r w:rsidRPr="0006607B">
        <w:t>Проект индивидуальн</w:t>
      </w:r>
      <w:r>
        <w:t>ого</w:t>
      </w:r>
      <w:r w:rsidRPr="0006607B">
        <w:t xml:space="preserve"> тариф</w:t>
      </w:r>
      <w:r>
        <w:t>а</w:t>
      </w:r>
      <w:r w:rsidRPr="0006607B">
        <w:t xml:space="preserve"> на услуги по передаче электрической энергии </w:t>
      </w:r>
      <w:r>
        <w:t>для взаиморасчетов между сетевыми организациям</w:t>
      </w:r>
      <w:proofErr w:type="gramStart"/>
      <w:r>
        <w:t>и ООО</w:t>
      </w:r>
      <w:proofErr w:type="gramEnd"/>
      <w:r>
        <w:t xml:space="preserve"> «Прогресс плюс» и</w:t>
      </w:r>
      <w:r w:rsidRPr="0006607B">
        <w:t xml:space="preserve"> </w:t>
      </w:r>
      <w:r w:rsidR="007E36E3">
        <w:t>П</w:t>
      </w:r>
      <w:r w:rsidRPr="0006607B">
        <w:t xml:space="preserve">АО МРСК «Центра» </w:t>
      </w:r>
      <w:r>
        <w:t>на территории Смоленской области</w:t>
      </w:r>
      <w:r w:rsidRPr="0006607B">
        <w:t xml:space="preserve"> на 201</w:t>
      </w:r>
      <w:r w:rsidR="00161DA5">
        <w:t>6</w:t>
      </w:r>
      <w:r w:rsidRPr="0006607B">
        <w:t xml:space="preserve"> год</w:t>
      </w:r>
      <w:r>
        <w:t>:</w:t>
      </w:r>
    </w:p>
    <w:p w:rsidR="00161DA5" w:rsidRDefault="00161DA5" w:rsidP="00084A16">
      <w:pPr>
        <w:autoSpaceDE w:val="0"/>
        <w:autoSpaceDN w:val="0"/>
        <w:adjustRightInd w:val="0"/>
        <w:ind w:firstLine="720"/>
        <w:jc w:val="both"/>
      </w:pP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8"/>
        <w:gridCol w:w="2665"/>
        <w:gridCol w:w="3240"/>
        <w:gridCol w:w="2350"/>
      </w:tblGrid>
      <w:tr w:rsidR="00084A16" w:rsidRPr="0006607B" w:rsidTr="00084A16">
        <w:tblPrEx>
          <w:tblCellMar>
            <w:top w:w="0" w:type="dxa"/>
            <w:bottom w:w="0" w:type="dxa"/>
          </w:tblCellMar>
        </w:tblPrEx>
        <w:tc>
          <w:tcPr>
            <w:tcW w:w="2058" w:type="dxa"/>
          </w:tcPr>
          <w:p w:rsidR="00084A16" w:rsidRPr="0006607B" w:rsidRDefault="00084A16" w:rsidP="00084A16">
            <w:pPr>
              <w:jc w:val="center"/>
            </w:pPr>
          </w:p>
        </w:tc>
        <w:tc>
          <w:tcPr>
            <w:tcW w:w="2665" w:type="dxa"/>
          </w:tcPr>
          <w:p w:rsidR="00084A16" w:rsidRPr="00C0248B" w:rsidRDefault="00084A16" w:rsidP="00084A16">
            <w:pPr>
              <w:jc w:val="center"/>
            </w:pPr>
            <w:r w:rsidRPr="00C0248B">
              <w:t xml:space="preserve">Ставка на содержание электрических сетей  руб./кВт в месяц </w:t>
            </w:r>
          </w:p>
          <w:p w:rsidR="00084A16" w:rsidRPr="00C0248B" w:rsidRDefault="00084A16" w:rsidP="00084A16">
            <w:pPr>
              <w:jc w:val="center"/>
            </w:pPr>
            <w:r w:rsidRPr="00C0248B">
              <w:t>(</w:t>
            </w:r>
            <w:r>
              <w:t>Н</w:t>
            </w:r>
            <w:r w:rsidRPr="00C0248B">
              <w:t>ДС</w:t>
            </w:r>
            <w:r>
              <w:t xml:space="preserve"> не облагается</w:t>
            </w:r>
            <w:r w:rsidRPr="00C0248B">
              <w:t>)</w:t>
            </w:r>
          </w:p>
        </w:tc>
        <w:tc>
          <w:tcPr>
            <w:tcW w:w="3240" w:type="dxa"/>
          </w:tcPr>
          <w:p w:rsidR="00084A16" w:rsidRPr="00C0248B" w:rsidRDefault="00084A16" w:rsidP="00084A16">
            <w:pPr>
              <w:jc w:val="center"/>
            </w:pPr>
            <w:r w:rsidRPr="00C0248B">
              <w:t xml:space="preserve">Ставка на оплату технологического расхода (потерь) электрической энергии  руб./кВт </w:t>
            </w:r>
            <w:proofErr w:type="gramStart"/>
            <w:r w:rsidRPr="00C0248B">
              <w:t>ч</w:t>
            </w:r>
            <w:proofErr w:type="gramEnd"/>
            <w:r w:rsidRPr="00C0248B">
              <w:t xml:space="preserve">. </w:t>
            </w:r>
          </w:p>
          <w:p w:rsidR="00084A16" w:rsidRPr="00C0248B" w:rsidRDefault="00084A16" w:rsidP="00084A16">
            <w:pPr>
              <w:jc w:val="center"/>
            </w:pPr>
            <w:r w:rsidRPr="00C0248B">
              <w:t>(</w:t>
            </w:r>
            <w:r>
              <w:t>Н</w:t>
            </w:r>
            <w:r w:rsidRPr="00C0248B">
              <w:t>ДС</w:t>
            </w:r>
            <w:r>
              <w:t xml:space="preserve"> не облагается</w:t>
            </w:r>
            <w:r w:rsidRPr="00C0248B">
              <w:t>)</w:t>
            </w:r>
          </w:p>
        </w:tc>
        <w:tc>
          <w:tcPr>
            <w:tcW w:w="2350" w:type="dxa"/>
          </w:tcPr>
          <w:p w:rsidR="00084A16" w:rsidRPr="00C0248B" w:rsidRDefault="00084A16" w:rsidP="00084A16">
            <w:pPr>
              <w:jc w:val="center"/>
            </w:pPr>
            <w:r w:rsidRPr="00C0248B">
              <w:t xml:space="preserve">Одноставочный тариф, руб./кВт </w:t>
            </w:r>
            <w:proofErr w:type="gramStart"/>
            <w:r w:rsidRPr="00C0248B">
              <w:t>ч</w:t>
            </w:r>
            <w:proofErr w:type="gramEnd"/>
            <w:r w:rsidRPr="00C0248B">
              <w:t xml:space="preserve"> (</w:t>
            </w:r>
            <w:r>
              <w:t>Н</w:t>
            </w:r>
            <w:r w:rsidRPr="00C0248B">
              <w:t>ДС</w:t>
            </w:r>
            <w:r>
              <w:t xml:space="preserve"> не облагается</w:t>
            </w:r>
            <w:r w:rsidRPr="00C0248B">
              <w:t>)</w:t>
            </w:r>
          </w:p>
        </w:tc>
      </w:tr>
      <w:tr w:rsidR="00275E02" w:rsidRPr="0006607B" w:rsidTr="00F1128C">
        <w:tblPrEx>
          <w:tblCellMar>
            <w:top w:w="0" w:type="dxa"/>
            <w:bottom w:w="0" w:type="dxa"/>
          </w:tblCellMar>
        </w:tblPrEx>
        <w:tc>
          <w:tcPr>
            <w:tcW w:w="2058" w:type="dxa"/>
            <w:vAlign w:val="center"/>
          </w:tcPr>
          <w:p w:rsidR="00275E02" w:rsidRPr="00A7263D" w:rsidRDefault="00275E02" w:rsidP="00161DA5">
            <w:pPr>
              <w:jc w:val="center"/>
            </w:pPr>
            <w:r w:rsidRPr="00A7263D">
              <w:t>с 01.01.201</w:t>
            </w:r>
            <w:r>
              <w:t>6</w:t>
            </w:r>
          </w:p>
        </w:tc>
        <w:tc>
          <w:tcPr>
            <w:tcW w:w="2665" w:type="dxa"/>
            <w:vAlign w:val="bottom"/>
          </w:tcPr>
          <w:p w:rsidR="00275E02" w:rsidRPr="00275E02" w:rsidRDefault="00275E02">
            <w:pPr>
              <w:rPr>
                <w:b/>
              </w:rPr>
            </w:pPr>
            <w:r w:rsidRPr="00275E02">
              <w:rPr>
                <w:b/>
              </w:rPr>
              <w:t xml:space="preserve">          157,47494   </w:t>
            </w:r>
          </w:p>
        </w:tc>
        <w:tc>
          <w:tcPr>
            <w:tcW w:w="3240" w:type="dxa"/>
            <w:vAlign w:val="bottom"/>
          </w:tcPr>
          <w:p w:rsidR="00275E02" w:rsidRPr="00275E02" w:rsidRDefault="00275E02">
            <w:pPr>
              <w:rPr>
                <w:b/>
              </w:rPr>
            </w:pPr>
            <w:r w:rsidRPr="00275E02">
              <w:rPr>
                <w:b/>
              </w:rPr>
              <w:t xml:space="preserve">              0,05782   </w:t>
            </w:r>
          </w:p>
        </w:tc>
        <w:tc>
          <w:tcPr>
            <w:tcW w:w="2350" w:type="dxa"/>
            <w:vAlign w:val="bottom"/>
          </w:tcPr>
          <w:p w:rsidR="00275E02" w:rsidRPr="00275E02" w:rsidRDefault="00275E02">
            <w:pPr>
              <w:rPr>
                <w:b/>
              </w:rPr>
            </w:pPr>
            <w:r w:rsidRPr="00275E02">
              <w:rPr>
                <w:b/>
              </w:rPr>
              <w:t xml:space="preserve">             0,44582   </w:t>
            </w:r>
          </w:p>
        </w:tc>
      </w:tr>
      <w:tr w:rsidR="00275E02" w:rsidRPr="0006607B" w:rsidTr="00F1128C">
        <w:tblPrEx>
          <w:tblCellMar>
            <w:top w:w="0" w:type="dxa"/>
            <w:bottom w:w="0" w:type="dxa"/>
          </w:tblCellMar>
        </w:tblPrEx>
        <w:tc>
          <w:tcPr>
            <w:tcW w:w="2058" w:type="dxa"/>
            <w:vAlign w:val="center"/>
          </w:tcPr>
          <w:p w:rsidR="00275E02" w:rsidRPr="00A7263D" w:rsidRDefault="00275E02" w:rsidP="00161DA5">
            <w:pPr>
              <w:jc w:val="center"/>
            </w:pPr>
            <w:r w:rsidRPr="00A7263D">
              <w:t>с 01.07.201</w:t>
            </w:r>
            <w:r>
              <w:t>6</w:t>
            </w:r>
          </w:p>
        </w:tc>
        <w:tc>
          <w:tcPr>
            <w:tcW w:w="2665" w:type="dxa"/>
            <w:vAlign w:val="bottom"/>
          </w:tcPr>
          <w:p w:rsidR="00275E02" w:rsidRPr="00275E02" w:rsidRDefault="00275E02">
            <w:pPr>
              <w:rPr>
                <w:b/>
              </w:rPr>
            </w:pPr>
            <w:r w:rsidRPr="00275E02">
              <w:rPr>
                <w:b/>
              </w:rPr>
              <w:t xml:space="preserve">          154,48114   </w:t>
            </w:r>
          </w:p>
        </w:tc>
        <w:tc>
          <w:tcPr>
            <w:tcW w:w="3240" w:type="dxa"/>
            <w:vAlign w:val="bottom"/>
          </w:tcPr>
          <w:p w:rsidR="00275E02" w:rsidRPr="00275E02" w:rsidRDefault="00275E02">
            <w:pPr>
              <w:rPr>
                <w:b/>
              </w:rPr>
            </w:pPr>
            <w:r w:rsidRPr="00275E02">
              <w:rPr>
                <w:b/>
              </w:rPr>
              <w:t xml:space="preserve">              0,05782   </w:t>
            </w:r>
          </w:p>
        </w:tc>
        <w:tc>
          <w:tcPr>
            <w:tcW w:w="2350" w:type="dxa"/>
            <w:vAlign w:val="bottom"/>
          </w:tcPr>
          <w:p w:rsidR="00275E02" w:rsidRPr="00275E02" w:rsidRDefault="00275E02">
            <w:pPr>
              <w:rPr>
                <w:b/>
              </w:rPr>
            </w:pPr>
            <w:r w:rsidRPr="00275E02">
              <w:rPr>
                <w:b/>
              </w:rPr>
              <w:t xml:space="preserve">             0,44582   </w:t>
            </w:r>
          </w:p>
        </w:tc>
      </w:tr>
    </w:tbl>
    <w:p w:rsidR="0069285E" w:rsidRDefault="0069285E" w:rsidP="00084A16">
      <w:pPr>
        <w:ind w:firstLine="567"/>
        <w:jc w:val="both"/>
      </w:pPr>
    </w:p>
    <w:p w:rsidR="00084A16" w:rsidRPr="00943336" w:rsidRDefault="00084A16" w:rsidP="00084A16">
      <w:pPr>
        <w:ind w:firstLine="567"/>
        <w:jc w:val="both"/>
      </w:pPr>
      <w:r w:rsidRPr="00BA1EBA">
        <w:t>В соответствии с действующими методами формирования тарифов все затраты на услуги по передаче электрической энергии, понесенные предприятием</w:t>
      </w:r>
      <w:r w:rsidRPr="00943336">
        <w:t xml:space="preserve"> и прошедшие экспертизу Департамента См</w:t>
      </w:r>
      <w:r w:rsidRPr="00943336">
        <w:t>о</w:t>
      </w:r>
      <w:r w:rsidRPr="00943336">
        <w:t>ленской области по энергетике, энергоэффективности</w:t>
      </w:r>
      <w:r>
        <w:t>,</w:t>
      </w:r>
      <w:r w:rsidRPr="00943336">
        <w:t xml:space="preserve"> </w:t>
      </w:r>
      <w:r>
        <w:t>тарифной политики</w:t>
      </w:r>
      <w:r w:rsidRPr="00943336">
        <w:t>, должны быть возмещены через утвержденный тар</w:t>
      </w:r>
      <w:r w:rsidRPr="00943336">
        <w:t>и</w:t>
      </w:r>
      <w:r w:rsidRPr="00943336">
        <w:t>ф.</w:t>
      </w:r>
    </w:p>
    <w:p w:rsidR="0069285E" w:rsidRDefault="0069285E" w:rsidP="00084A16">
      <w:pPr>
        <w:ind w:firstLine="720"/>
        <w:jc w:val="both"/>
      </w:pPr>
    </w:p>
    <w:p w:rsidR="00084A16" w:rsidRDefault="00084A16" w:rsidP="00084A16">
      <w:pPr>
        <w:ind w:firstLine="720"/>
        <w:jc w:val="both"/>
      </w:pPr>
      <w:r>
        <w:t>4</w:t>
      </w:r>
      <w:r w:rsidRPr="0006607B">
        <w:t xml:space="preserve">. </w:t>
      </w:r>
      <w:r>
        <w:t xml:space="preserve"> Довести до сведения сетевой организации информацию:</w:t>
      </w:r>
    </w:p>
    <w:p w:rsidR="00084A16" w:rsidRDefault="00084A16" w:rsidP="00084A16">
      <w:pPr>
        <w:ind w:firstLine="720"/>
        <w:jc w:val="both"/>
      </w:pPr>
      <w:r>
        <w:t xml:space="preserve">- об обязательном порядке предоставления в срок до 1 апреля года, следующего за </w:t>
      </w:r>
      <w:proofErr w:type="gramStart"/>
      <w:r>
        <w:t>отчетным</w:t>
      </w:r>
      <w:proofErr w:type="gramEnd"/>
      <w:r>
        <w:t xml:space="preserve">, отчетных данных, используемых при расчете фактических значений показателей надежности и качества в соответствии с методическими указаниями; </w:t>
      </w:r>
    </w:p>
    <w:p w:rsidR="00084A16" w:rsidRDefault="00084A16" w:rsidP="00084A1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B66E1">
        <w:rPr>
          <w:b/>
        </w:rPr>
        <w:t xml:space="preserve">- </w:t>
      </w:r>
      <w:r w:rsidRPr="00FB66E1">
        <w:t>о</w:t>
      </w:r>
      <w:r>
        <w:t>б</w:t>
      </w:r>
      <w:r>
        <w:rPr>
          <w:b/>
        </w:rPr>
        <w:t xml:space="preserve"> обязательном порядке</w:t>
      </w:r>
      <w:r>
        <w:t xml:space="preserve"> предоставления </w:t>
      </w:r>
      <w:r>
        <w:rPr>
          <w:b/>
        </w:rPr>
        <w:t>ежемесячных и годовых</w:t>
      </w:r>
      <w:r>
        <w:t xml:space="preserve"> форм </w:t>
      </w:r>
      <w:r>
        <w:rPr>
          <w:bCs/>
        </w:rPr>
        <w:t>отчетности (форма № 46-ЭЭ) в виде шаблонов в ФСТ России по системе ЕИАС  (в соответствии с приказом Федеральной службы государственной статистики от 11.02.2011 № 37 «</w:t>
      </w:r>
      <w:r>
        <w:t>Об утверждении статистического инструментария для организации ФСТ России федерального статистического наблюдения за деятельностью организаций в сфере электроэнергетики и теплоэнергетики</w:t>
      </w:r>
      <w:r>
        <w:rPr>
          <w:bCs/>
        </w:rPr>
        <w:t xml:space="preserve">»).  </w:t>
      </w:r>
    </w:p>
    <w:p w:rsidR="00084A16" w:rsidRDefault="00084A16" w:rsidP="00084A16">
      <w:pPr>
        <w:pStyle w:val="a7"/>
        <w:tabs>
          <w:tab w:val="left" w:pos="708"/>
        </w:tabs>
        <w:ind w:firstLine="709"/>
        <w:jc w:val="both"/>
      </w:pPr>
      <w:r w:rsidRPr="00FB66E1">
        <w:rPr>
          <w:b/>
        </w:rPr>
        <w:t>-</w:t>
      </w:r>
      <w:r>
        <w:t xml:space="preserve"> об обязанности раскрывать информацию, подлежащую свободному доступу в соответствии с постановлением Правительства РФ от 21.01.2004 № 24 «Об утверждении стандартов раскрытия информации субъектами оптового и розничного рынков электрической энергии». </w:t>
      </w:r>
    </w:p>
    <w:p w:rsidR="00084A16" w:rsidRDefault="00084A16" w:rsidP="00084A16">
      <w:pPr>
        <w:pStyle w:val="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нарушения установленных стандартами раскрытия информации порядка, способов и сроков опубликования информации, непредставления сведений или представление заведомо ложных сведений о своей деятельности  организация привлекается к административной ответственности в установленном Кодексом Российской Федерации об административных правонарушения  порядке (ст. 9.15. Нарушение стандартов раскрытия информации субъектами оптового рынка электрической энергии и мощности, розничных рынков электрической энергии влечет наложение административного штрафа на юридических лиц в размере  от двухсот тысяч до пятисот тысяч рублей).</w:t>
      </w:r>
    </w:p>
    <w:p w:rsidR="00084A16" w:rsidRDefault="00084A16" w:rsidP="00084A16">
      <w:pPr>
        <w:ind w:firstLine="708"/>
        <w:jc w:val="both"/>
      </w:pPr>
      <w:r w:rsidRPr="00FB66E1">
        <w:rPr>
          <w:b/>
        </w:rPr>
        <w:t>-</w:t>
      </w:r>
      <w:r>
        <w:t xml:space="preserve"> о требованиях Федерального Закона от 23.11.2009 г. № 261-ФЗ  «Об энергосбережении и о повышении энергетической эффективности» о необходимости утверждать и реализовывать программы в области энергосбережения и повышения энергетической эффективности. Постановлением Департамента от  31.03.2011 г. № 87 утверждено «Положение о требованиях к программам в области энергосбережения и повышения энергетической эффективности организаций, осуществляющих регулируемые виды деятельности».</w:t>
      </w:r>
    </w:p>
    <w:p w:rsidR="00084A16" w:rsidRDefault="00084A16" w:rsidP="00084A16">
      <w:pPr>
        <w:ind w:firstLine="708"/>
        <w:jc w:val="both"/>
      </w:pPr>
      <w:r>
        <w:t xml:space="preserve">Сетевой организации необходимо в 3-х месячный срок с момента </w:t>
      </w:r>
      <w:proofErr w:type="gramStart"/>
      <w:r>
        <w:t>опубликования</w:t>
      </w:r>
      <w:proofErr w:type="gramEnd"/>
      <w:r>
        <w:t xml:space="preserve"> в средствах массовой информации утвержденного тарифа на услуги по передаче электрической энергии, представить в Департамент разработанную и утвержденную в соответствии с настоящим   положением программу энергосбережения. Невыполнение указанных  требований предусматривает ответственность согласно ст.  9.16  Кодекса Российской Федерации об     административных  правонарушениях и влечет наложение административного штрафа на должностных лиц в размере от тридцати до пятидесяти тысяч рублей, на юридических лиц – от пятидесяти до ста тысяч рублей».</w:t>
      </w:r>
    </w:p>
    <w:p w:rsidR="00084A16" w:rsidRDefault="00084A16" w:rsidP="00084A16">
      <w:pPr>
        <w:ind w:firstLine="708"/>
        <w:jc w:val="both"/>
      </w:pPr>
      <w:r w:rsidRPr="00270844">
        <w:rPr>
          <w:b/>
        </w:rPr>
        <w:t>-</w:t>
      </w:r>
      <w:r w:rsidRPr="00270844">
        <w:t xml:space="preserve"> </w:t>
      </w:r>
      <w:proofErr w:type="gramStart"/>
      <w:r w:rsidRPr="00270844">
        <w:t>о</w:t>
      </w:r>
      <w:r>
        <w:t>б</w:t>
      </w:r>
      <w:proofErr w:type="gramEnd"/>
      <w:r>
        <w:t xml:space="preserve"> </w:t>
      </w:r>
      <w:r w:rsidRPr="00081D74">
        <w:rPr>
          <w:b/>
        </w:rPr>
        <w:t>ежегодном</w:t>
      </w:r>
      <w:r w:rsidRPr="00270844">
        <w:t xml:space="preserve"> </w:t>
      </w:r>
      <w:r>
        <w:t xml:space="preserve">представлении в Департамент в срок </w:t>
      </w:r>
      <w:r w:rsidRPr="00081D74">
        <w:rPr>
          <w:b/>
        </w:rPr>
        <w:t>до 1 февраля</w:t>
      </w:r>
      <w:r>
        <w:t xml:space="preserve"> года, следующего за отчетным, информацию о ходе реализации программы энергосбережения и повышения энергетической эффективности по утвержденной форме (Приложение № 6 к  Постановлению </w:t>
      </w:r>
      <w:r>
        <w:lastRenderedPageBreak/>
        <w:t>Департамента от  31.03.2011 г. № 87 об утверждении «Положения о требованиях к программам в области энергосбережения и повышения энергетической эффективности организаций, осуществляющих регулируемые виды деятельности»).</w:t>
      </w:r>
    </w:p>
    <w:p w:rsidR="00084A16" w:rsidRPr="0006607B" w:rsidRDefault="00084A16" w:rsidP="00084A16">
      <w:pPr>
        <w:ind w:firstLine="708"/>
        <w:jc w:val="both"/>
      </w:pPr>
      <w:r w:rsidRPr="0006607B">
        <w:rPr>
          <w:color w:val="000000"/>
        </w:rPr>
        <w:t xml:space="preserve">       </w:t>
      </w:r>
      <w:r w:rsidRPr="0006607B">
        <w:t xml:space="preserve"> </w:t>
      </w:r>
    </w:p>
    <w:p w:rsidR="00084A16" w:rsidRDefault="00084A16" w:rsidP="00084A16">
      <w:pPr>
        <w:pStyle w:val="a7"/>
        <w:tabs>
          <w:tab w:val="clear" w:pos="4677"/>
          <w:tab w:val="clear" w:pos="9355"/>
        </w:tabs>
        <w:jc w:val="both"/>
        <w:rPr>
          <w:lang w:val="ru-RU"/>
        </w:rPr>
      </w:pPr>
      <w:r w:rsidRPr="0006607B">
        <w:t xml:space="preserve">  </w:t>
      </w:r>
    </w:p>
    <w:p w:rsidR="00FA7F51" w:rsidRDefault="00FA7F51" w:rsidP="00084A16">
      <w:pPr>
        <w:pStyle w:val="a7"/>
        <w:tabs>
          <w:tab w:val="clear" w:pos="4677"/>
          <w:tab w:val="clear" w:pos="9355"/>
        </w:tabs>
        <w:jc w:val="both"/>
        <w:rPr>
          <w:lang w:val="ru-RU"/>
        </w:rPr>
      </w:pPr>
    </w:p>
    <w:p w:rsidR="00FA7F51" w:rsidRDefault="00FA7F51" w:rsidP="00084A16">
      <w:pPr>
        <w:pStyle w:val="a7"/>
        <w:tabs>
          <w:tab w:val="clear" w:pos="4677"/>
          <w:tab w:val="clear" w:pos="9355"/>
        </w:tabs>
        <w:jc w:val="both"/>
        <w:rPr>
          <w:lang w:val="ru-RU"/>
        </w:rPr>
      </w:pPr>
    </w:p>
    <w:p w:rsidR="00FA7F51" w:rsidRDefault="00FA7F51" w:rsidP="00084A16">
      <w:pPr>
        <w:pStyle w:val="a7"/>
        <w:tabs>
          <w:tab w:val="clear" w:pos="4677"/>
          <w:tab w:val="clear" w:pos="9355"/>
        </w:tabs>
        <w:jc w:val="both"/>
        <w:rPr>
          <w:lang w:val="ru-RU"/>
        </w:rPr>
      </w:pPr>
    </w:p>
    <w:p w:rsidR="00FA7F51" w:rsidRPr="00FA7F51" w:rsidRDefault="00FA7F51" w:rsidP="00084A16">
      <w:pPr>
        <w:pStyle w:val="a7"/>
        <w:tabs>
          <w:tab w:val="clear" w:pos="4677"/>
          <w:tab w:val="clear" w:pos="9355"/>
        </w:tabs>
        <w:jc w:val="both"/>
        <w:rPr>
          <w:lang w:val="ru-RU"/>
        </w:rPr>
      </w:pPr>
    </w:p>
    <w:p w:rsidR="00084A16" w:rsidRPr="0006607B" w:rsidRDefault="00084A16" w:rsidP="00084A16">
      <w:pPr>
        <w:pStyle w:val="a7"/>
        <w:tabs>
          <w:tab w:val="clear" w:pos="4677"/>
          <w:tab w:val="clear" w:pos="9355"/>
        </w:tabs>
        <w:jc w:val="both"/>
        <w:rPr>
          <w:b/>
          <w:bCs/>
          <w:color w:val="000000"/>
        </w:rPr>
      </w:pPr>
      <w:r w:rsidRPr="0006607B">
        <w:t xml:space="preserve">  </w:t>
      </w:r>
      <w:r w:rsidRPr="0006607B">
        <w:rPr>
          <w:b/>
          <w:bCs/>
          <w:color w:val="000000"/>
        </w:rPr>
        <w:t>Экспертный Совет:</w:t>
      </w:r>
    </w:p>
    <w:p w:rsidR="00084A16" w:rsidRPr="0006607B" w:rsidRDefault="00084A16" w:rsidP="00084A16">
      <w:pPr>
        <w:pStyle w:val="a7"/>
        <w:tabs>
          <w:tab w:val="clear" w:pos="4677"/>
          <w:tab w:val="clear" w:pos="9355"/>
        </w:tabs>
        <w:jc w:val="both"/>
        <w:rPr>
          <w:b/>
          <w:bCs/>
          <w:color w:val="000000"/>
        </w:rPr>
      </w:pPr>
    </w:p>
    <w:tbl>
      <w:tblPr>
        <w:tblW w:w="9750" w:type="dxa"/>
        <w:tblLook w:val="04A0"/>
      </w:tblPr>
      <w:tblGrid>
        <w:gridCol w:w="3369"/>
        <w:gridCol w:w="3190"/>
        <w:gridCol w:w="3191"/>
      </w:tblGrid>
      <w:tr w:rsidR="00084A16" w:rsidTr="00084A16">
        <w:tc>
          <w:tcPr>
            <w:tcW w:w="3369" w:type="dxa"/>
            <w:vAlign w:val="center"/>
          </w:tcPr>
          <w:p w:rsidR="00084A16" w:rsidRPr="009871BE" w:rsidRDefault="00084A16" w:rsidP="00084A16">
            <w:pPr>
              <w:pStyle w:val="a7"/>
              <w:rPr>
                <w:color w:val="000000"/>
                <w:lang w:val="ru-RU" w:eastAsia="ru-RU"/>
              </w:rPr>
            </w:pPr>
            <w:r w:rsidRPr="009871BE">
              <w:rPr>
                <w:color w:val="000000"/>
                <w:lang w:val="ru-RU" w:eastAsia="ru-RU"/>
              </w:rPr>
              <w:t xml:space="preserve">Начальник отдела </w:t>
            </w:r>
            <w:proofErr w:type="gramStart"/>
            <w:r w:rsidRPr="009871BE">
              <w:rPr>
                <w:color w:val="000000"/>
                <w:lang w:val="ru-RU" w:eastAsia="ru-RU"/>
              </w:rPr>
              <w:t>технической</w:t>
            </w:r>
            <w:proofErr w:type="gramEnd"/>
          </w:p>
          <w:p w:rsidR="00084A16" w:rsidRDefault="00084A16" w:rsidP="00084A16">
            <w:pPr>
              <w:tabs>
                <w:tab w:val="left" w:pos="3061"/>
              </w:tabs>
            </w:pPr>
            <w:r w:rsidRPr="00C77703">
              <w:rPr>
                <w:color w:val="000000"/>
              </w:rPr>
              <w:t xml:space="preserve">экспертизы и </w:t>
            </w:r>
            <w:r>
              <w:rPr>
                <w:color w:val="000000"/>
              </w:rPr>
              <w:t>э</w:t>
            </w:r>
            <w:r w:rsidRPr="00C77703">
              <w:rPr>
                <w:color w:val="000000"/>
              </w:rPr>
              <w:t>нергетических балансов</w:t>
            </w:r>
          </w:p>
        </w:tc>
        <w:tc>
          <w:tcPr>
            <w:tcW w:w="3190" w:type="dxa"/>
            <w:vAlign w:val="center"/>
          </w:tcPr>
          <w:p w:rsidR="00084A16" w:rsidRDefault="00084A16" w:rsidP="00084A16">
            <w:pPr>
              <w:tabs>
                <w:tab w:val="left" w:pos="3061"/>
              </w:tabs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75pt;height:40.5pt">
                  <v:imagedata r:id="rId8" o:title=""/>
                </v:shape>
              </w:pict>
            </w:r>
          </w:p>
        </w:tc>
        <w:tc>
          <w:tcPr>
            <w:tcW w:w="3191" w:type="dxa"/>
            <w:vAlign w:val="center"/>
          </w:tcPr>
          <w:p w:rsidR="00084A16" w:rsidRDefault="00084A16" w:rsidP="00084A16">
            <w:pPr>
              <w:tabs>
                <w:tab w:val="left" w:pos="3061"/>
              </w:tabs>
              <w:jc w:val="center"/>
            </w:pPr>
            <w:r w:rsidRPr="0006607B">
              <w:t>Н.И. Борисов</w:t>
            </w:r>
          </w:p>
        </w:tc>
      </w:tr>
      <w:tr w:rsidR="00084A16" w:rsidTr="00084A16">
        <w:tc>
          <w:tcPr>
            <w:tcW w:w="3369" w:type="dxa"/>
            <w:vAlign w:val="center"/>
          </w:tcPr>
          <w:p w:rsidR="00084A16" w:rsidRPr="009871BE" w:rsidRDefault="00084A16" w:rsidP="00084A16">
            <w:pPr>
              <w:pStyle w:val="a7"/>
              <w:rPr>
                <w:color w:val="000000"/>
                <w:lang w:val="ru-RU" w:eastAsia="ru-RU"/>
              </w:rPr>
            </w:pPr>
            <w:r w:rsidRPr="009871BE">
              <w:rPr>
                <w:color w:val="000000"/>
                <w:lang w:val="ru-RU" w:eastAsia="ru-RU"/>
              </w:rPr>
              <w:t>Члены Экспертного совета:</w:t>
            </w:r>
          </w:p>
          <w:p w:rsidR="00084A16" w:rsidRDefault="00084A16" w:rsidP="00084A16">
            <w:pPr>
              <w:tabs>
                <w:tab w:val="left" w:pos="3061"/>
              </w:tabs>
            </w:pPr>
          </w:p>
        </w:tc>
        <w:tc>
          <w:tcPr>
            <w:tcW w:w="3190" w:type="dxa"/>
            <w:vAlign w:val="center"/>
          </w:tcPr>
          <w:p w:rsidR="00084A16" w:rsidRDefault="00084A16" w:rsidP="00084A16">
            <w:pPr>
              <w:tabs>
                <w:tab w:val="left" w:pos="3061"/>
              </w:tabs>
              <w:jc w:val="center"/>
            </w:pPr>
          </w:p>
        </w:tc>
        <w:tc>
          <w:tcPr>
            <w:tcW w:w="3191" w:type="dxa"/>
            <w:vAlign w:val="center"/>
          </w:tcPr>
          <w:p w:rsidR="00084A16" w:rsidRDefault="00084A16" w:rsidP="00084A16">
            <w:pPr>
              <w:tabs>
                <w:tab w:val="left" w:pos="3061"/>
              </w:tabs>
              <w:jc w:val="center"/>
            </w:pPr>
          </w:p>
        </w:tc>
      </w:tr>
      <w:tr w:rsidR="00084A16" w:rsidTr="00084A16">
        <w:tc>
          <w:tcPr>
            <w:tcW w:w="3369" w:type="dxa"/>
            <w:vAlign w:val="center"/>
          </w:tcPr>
          <w:p w:rsidR="00084A16" w:rsidRPr="009871BE" w:rsidRDefault="00084A16" w:rsidP="00084A16">
            <w:pPr>
              <w:pStyle w:val="a7"/>
              <w:rPr>
                <w:lang w:val="ru-RU" w:eastAsia="ru-RU"/>
              </w:rPr>
            </w:pPr>
            <w:r w:rsidRPr="009871BE">
              <w:rPr>
                <w:color w:val="000000"/>
                <w:lang w:val="ru-RU" w:eastAsia="ru-RU"/>
              </w:rPr>
              <w:t xml:space="preserve">Начальник отдела </w:t>
            </w:r>
            <w:r w:rsidRPr="009871BE">
              <w:rPr>
                <w:lang w:val="ru-RU" w:eastAsia="ru-RU"/>
              </w:rPr>
              <w:t>ценового регулирования</w:t>
            </w:r>
          </w:p>
          <w:p w:rsidR="00084A16" w:rsidRPr="009871BE" w:rsidRDefault="00084A16" w:rsidP="00084A16">
            <w:pPr>
              <w:pStyle w:val="a7"/>
              <w:rPr>
                <w:color w:val="000000"/>
                <w:lang w:val="ru-RU" w:eastAsia="ru-RU"/>
              </w:rPr>
            </w:pPr>
            <w:r w:rsidRPr="009871BE">
              <w:rPr>
                <w:lang w:val="ru-RU" w:eastAsia="ru-RU"/>
              </w:rPr>
              <w:t>в энергетике</w:t>
            </w:r>
          </w:p>
          <w:p w:rsidR="00084A16" w:rsidRDefault="00084A16" w:rsidP="00084A16">
            <w:pPr>
              <w:tabs>
                <w:tab w:val="left" w:pos="3061"/>
              </w:tabs>
            </w:pPr>
          </w:p>
        </w:tc>
        <w:tc>
          <w:tcPr>
            <w:tcW w:w="3190" w:type="dxa"/>
            <w:vAlign w:val="center"/>
          </w:tcPr>
          <w:p w:rsidR="00084A16" w:rsidRDefault="00084A16" w:rsidP="00084A16">
            <w:pPr>
              <w:tabs>
                <w:tab w:val="left" w:pos="3061"/>
              </w:tabs>
              <w:jc w:val="center"/>
            </w:pPr>
            <w:r>
              <w:pict>
                <v:shape id="_x0000_i1026" type="#_x0000_t75" style="width:57.75pt;height:57.75pt">
                  <v:imagedata r:id="rId9" o:title=""/>
                </v:shape>
              </w:pict>
            </w:r>
          </w:p>
        </w:tc>
        <w:tc>
          <w:tcPr>
            <w:tcW w:w="3191" w:type="dxa"/>
            <w:vAlign w:val="center"/>
          </w:tcPr>
          <w:p w:rsidR="00084A16" w:rsidRDefault="00084A16" w:rsidP="00084A16">
            <w:pPr>
              <w:tabs>
                <w:tab w:val="left" w:pos="3061"/>
              </w:tabs>
              <w:jc w:val="center"/>
            </w:pPr>
            <w:r w:rsidRPr="00C77703">
              <w:rPr>
                <w:color w:val="000000"/>
              </w:rPr>
              <w:t>Е.А. Алфимова</w:t>
            </w:r>
          </w:p>
        </w:tc>
      </w:tr>
      <w:tr w:rsidR="00084A16" w:rsidTr="00084A16">
        <w:tc>
          <w:tcPr>
            <w:tcW w:w="3369" w:type="dxa"/>
            <w:vAlign w:val="center"/>
          </w:tcPr>
          <w:p w:rsidR="00084A16" w:rsidRPr="009871BE" w:rsidRDefault="00084A16" w:rsidP="00084A16">
            <w:pPr>
              <w:pStyle w:val="a7"/>
              <w:rPr>
                <w:lang w:val="ru-RU" w:eastAsia="ru-RU"/>
              </w:rPr>
            </w:pPr>
            <w:r w:rsidRPr="009871BE">
              <w:rPr>
                <w:color w:val="000000"/>
                <w:lang w:val="ru-RU" w:eastAsia="ru-RU"/>
              </w:rPr>
              <w:t xml:space="preserve">Консультант отдела </w:t>
            </w:r>
            <w:r w:rsidRPr="009871BE">
              <w:rPr>
                <w:lang w:val="ru-RU" w:eastAsia="ru-RU"/>
              </w:rPr>
              <w:t>ценового регулирования</w:t>
            </w:r>
          </w:p>
          <w:p w:rsidR="00084A16" w:rsidRDefault="00084A16" w:rsidP="00084A16">
            <w:pPr>
              <w:tabs>
                <w:tab w:val="left" w:pos="3061"/>
              </w:tabs>
            </w:pPr>
            <w:r>
              <w:t>в энергетике</w:t>
            </w:r>
          </w:p>
        </w:tc>
        <w:tc>
          <w:tcPr>
            <w:tcW w:w="3190" w:type="dxa"/>
            <w:vAlign w:val="center"/>
          </w:tcPr>
          <w:p w:rsidR="00084A16" w:rsidRDefault="00084A16" w:rsidP="00084A16">
            <w:pPr>
              <w:tabs>
                <w:tab w:val="left" w:pos="3061"/>
              </w:tabs>
              <w:jc w:val="center"/>
            </w:pPr>
            <w:r>
              <w:pict>
                <v:shape id="_x0000_i1027" type="#_x0000_t75" style="width:60pt;height:39.75pt">
                  <v:imagedata r:id="rId10" o:title=""/>
                </v:shape>
              </w:pict>
            </w:r>
          </w:p>
        </w:tc>
        <w:tc>
          <w:tcPr>
            <w:tcW w:w="3191" w:type="dxa"/>
            <w:vAlign w:val="center"/>
          </w:tcPr>
          <w:p w:rsidR="00084A16" w:rsidRDefault="00084A16" w:rsidP="00084A16">
            <w:pPr>
              <w:tabs>
                <w:tab w:val="left" w:pos="3061"/>
              </w:tabs>
              <w:jc w:val="center"/>
            </w:pPr>
            <w:r w:rsidRPr="0006607B">
              <w:t>О.С. Шейдина</w:t>
            </w:r>
          </w:p>
        </w:tc>
      </w:tr>
      <w:tr w:rsidR="00084A16" w:rsidTr="00084A16">
        <w:tc>
          <w:tcPr>
            <w:tcW w:w="3369" w:type="dxa"/>
            <w:vAlign w:val="center"/>
          </w:tcPr>
          <w:p w:rsidR="00084A16" w:rsidRPr="009871BE" w:rsidRDefault="00084A16" w:rsidP="00084A16">
            <w:pPr>
              <w:pStyle w:val="a7"/>
              <w:rPr>
                <w:color w:val="000000"/>
                <w:lang w:val="ru-RU" w:eastAsia="ru-RU"/>
              </w:rPr>
            </w:pPr>
            <w:r w:rsidRPr="009871BE">
              <w:rPr>
                <w:lang w:val="ru-RU" w:eastAsia="ru-RU"/>
              </w:rPr>
              <w:t>Кон</w:t>
            </w:r>
            <w:r w:rsidRPr="009871BE">
              <w:rPr>
                <w:color w:val="000000"/>
                <w:lang w:val="ru-RU" w:eastAsia="ru-RU"/>
              </w:rPr>
              <w:t>сультант отдела по утверждению нормативов</w:t>
            </w:r>
          </w:p>
          <w:p w:rsidR="00084A16" w:rsidRDefault="00084A16" w:rsidP="00084A16">
            <w:pPr>
              <w:tabs>
                <w:tab w:val="left" w:pos="3061"/>
              </w:tabs>
            </w:pPr>
            <w:r w:rsidRPr="00C77703">
              <w:rPr>
                <w:color w:val="000000"/>
              </w:rPr>
              <w:t>потребления коммунальных услуг</w:t>
            </w:r>
          </w:p>
        </w:tc>
        <w:tc>
          <w:tcPr>
            <w:tcW w:w="3190" w:type="dxa"/>
            <w:vAlign w:val="center"/>
          </w:tcPr>
          <w:p w:rsidR="00084A16" w:rsidRDefault="00084A16" w:rsidP="00084A16">
            <w:pPr>
              <w:tabs>
                <w:tab w:val="left" w:pos="3061"/>
              </w:tabs>
              <w:jc w:val="center"/>
            </w:pPr>
            <w:r>
              <w:pict>
                <v:shape id="_x0000_i1028" type="#_x0000_t75" style="width:99.75pt;height:45.75pt">
                  <v:imagedata r:id="rId11" o:title=""/>
                </v:shape>
              </w:pict>
            </w:r>
          </w:p>
        </w:tc>
        <w:tc>
          <w:tcPr>
            <w:tcW w:w="3191" w:type="dxa"/>
            <w:vAlign w:val="center"/>
          </w:tcPr>
          <w:p w:rsidR="00084A16" w:rsidRDefault="00084A16" w:rsidP="00084A16">
            <w:pPr>
              <w:tabs>
                <w:tab w:val="left" w:pos="3061"/>
              </w:tabs>
              <w:jc w:val="center"/>
            </w:pPr>
            <w:r>
              <w:t xml:space="preserve">Ю.Ю. </w:t>
            </w:r>
            <w:r w:rsidRPr="00FD28F9">
              <w:t>Андреенкова</w:t>
            </w:r>
          </w:p>
        </w:tc>
      </w:tr>
      <w:tr w:rsidR="00084A16" w:rsidTr="00084A16">
        <w:tc>
          <w:tcPr>
            <w:tcW w:w="3369" w:type="dxa"/>
            <w:vAlign w:val="center"/>
          </w:tcPr>
          <w:p w:rsidR="00084A16" w:rsidRPr="009871BE" w:rsidRDefault="00084A16" w:rsidP="00084A16">
            <w:pPr>
              <w:pStyle w:val="a7"/>
              <w:rPr>
                <w:szCs w:val="28"/>
                <w:lang w:val="ru-RU" w:eastAsia="ru-RU"/>
              </w:rPr>
            </w:pPr>
            <w:r w:rsidRPr="009871BE">
              <w:rPr>
                <w:szCs w:val="28"/>
                <w:lang w:val="ru-RU" w:eastAsia="ru-RU"/>
              </w:rPr>
              <w:t>Главный специалист отдела</w:t>
            </w:r>
          </w:p>
          <w:p w:rsidR="00084A16" w:rsidRDefault="00084A16" w:rsidP="00084A16">
            <w:pPr>
              <w:tabs>
                <w:tab w:val="left" w:pos="3061"/>
              </w:tabs>
            </w:pPr>
            <w:r w:rsidRPr="00C77703">
              <w:rPr>
                <w:szCs w:val="28"/>
              </w:rPr>
              <w:t>Контрольно - аналитической работы</w:t>
            </w:r>
          </w:p>
        </w:tc>
        <w:tc>
          <w:tcPr>
            <w:tcW w:w="3190" w:type="dxa"/>
            <w:vAlign w:val="center"/>
          </w:tcPr>
          <w:p w:rsidR="00084A16" w:rsidRDefault="00084A16" w:rsidP="00084A16">
            <w:pPr>
              <w:tabs>
                <w:tab w:val="left" w:pos="3061"/>
              </w:tabs>
              <w:jc w:val="center"/>
            </w:pPr>
            <w:r>
              <w:pict>
                <v:shape id="_x0000_i1029" type="#_x0000_t75" style="width:79.5pt;height:41.25pt">
                  <v:imagedata r:id="rId12" o:title=""/>
                </v:shape>
              </w:pict>
            </w:r>
          </w:p>
        </w:tc>
        <w:tc>
          <w:tcPr>
            <w:tcW w:w="3191" w:type="dxa"/>
            <w:vAlign w:val="center"/>
          </w:tcPr>
          <w:p w:rsidR="00084A16" w:rsidRDefault="00084A16" w:rsidP="00084A16">
            <w:pPr>
              <w:tabs>
                <w:tab w:val="left" w:pos="3061"/>
              </w:tabs>
              <w:jc w:val="center"/>
            </w:pPr>
            <w:r w:rsidRPr="00C77703">
              <w:rPr>
                <w:szCs w:val="28"/>
              </w:rPr>
              <w:t>И.А. Клюев</w:t>
            </w:r>
          </w:p>
        </w:tc>
      </w:tr>
    </w:tbl>
    <w:p w:rsidR="00084A16" w:rsidRPr="00084A16" w:rsidRDefault="00084A16" w:rsidP="005E1188">
      <w:pPr>
        <w:pStyle w:val="a3"/>
        <w:ind w:firstLine="709"/>
        <w:jc w:val="right"/>
        <w:rPr>
          <w:bCs/>
          <w:lang w:val="ru-RU"/>
        </w:rPr>
        <w:sectPr w:rsidR="00084A16" w:rsidRPr="00084A16" w:rsidSect="00AB2814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pgSz w:w="11906" w:h="16838" w:code="9"/>
          <w:pgMar w:top="1134" w:right="567" w:bottom="1134" w:left="1134" w:header="567" w:footer="720" w:gutter="0"/>
          <w:cols w:space="708"/>
          <w:titlePg/>
          <w:docGrid w:linePitch="360"/>
        </w:sectPr>
      </w:pPr>
    </w:p>
    <w:p w:rsidR="00084A16" w:rsidRDefault="00084A16" w:rsidP="00084A16">
      <w:pPr>
        <w:pStyle w:val="a3"/>
        <w:ind w:firstLine="709"/>
        <w:jc w:val="right"/>
        <w:rPr>
          <w:bCs/>
        </w:rPr>
      </w:pPr>
      <w:r w:rsidRPr="0006607B">
        <w:rPr>
          <w:bCs/>
        </w:rPr>
        <w:lastRenderedPageBreak/>
        <w:t>Таблица 1</w:t>
      </w:r>
    </w:p>
    <w:p w:rsidR="00084A16" w:rsidRPr="0006607B" w:rsidRDefault="00084A16" w:rsidP="00084A16">
      <w:pPr>
        <w:pStyle w:val="a3"/>
        <w:ind w:firstLine="709"/>
        <w:jc w:val="center"/>
        <w:rPr>
          <w:bCs/>
        </w:rPr>
      </w:pPr>
      <w:r w:rsidRPr="0006607B">
        <w:rPr>
          <w:bCs/>
        </w:rPr>
        <w:t>Объем финансовых средств, необходимых организации для осуществления деятельности по содержанию электрических сетей в течение долгосрочного периода регулирования</w:t>
      </w:r>
    </w:p>
    <w:tbl>
      <w:tblPr>
        <w:tblW w:w="1389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8"/>
        <w:gridCol w:w="3040"/>
        <w:gridCol w:w="1123"/>
        <w:gridCol w:w="1272"/>
        <w:gridCol w:w="1276"/>
        <w:gridCol w:w="1276"/>
        <w:gridCol w:w="1417"/>
        <w:gridCol w:w="1418"/>
        <w:gridCol w:w="1276"/>
        <w:gridCol w:w="1275"/>
      </w:tblGrid>
      <w:tr w:rsidR="00084A16" w:rsidRPr="009D7BD7" w:rsidTr="00084A16">
        <w:tc>
          <w:tcPr>
            <w:tcW w:w="518" w:type="dxa"/>
          </w:tcPr>
          <w:p w:rsidR="00084A16" w:rsidRPr="009D7BD7" w:rsidRDefault="00084A16" w:rsidP="00084A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0" w:type="dxa"/>
            <w:vAlign w:val="center"/>
          </w:tcPr>
          <w:p w:rsidR="00084A16" w:rsidRPr="009D7BD7" w:rsidRDefault="00084A16" w:rsidP="00084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084A16" w:rsidRPr="009D7BD7" w:rsidRDefault="00084A16" w:rsidP="00084A16">
            <w:pPr>
              <w:jc w:val="center"/>
              <w:rPr>
                <w:sz w:val="20"/>
                <w:szCs w:val="20"/>
              </w:rPr>
            </w:pPr>
            <w:r w:rsidRPr="009D7BD7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1272" w:type="dxa"/>
            <w:vAlign w:val="center"/>
          </w:tcPr>
          <w:p w:rsidR="00084A16" w:rsidRPr="009D7BD7" w:rsidRDefault="00084A16" w:rsidP="00084A16">
            <w:pPr>
              <w:jc w:val="center"/>
              <w:rPr>
                <w:sz w:val="20"/>
                <w:szCs w:val="20"/>
              </w:rPr>
            </w:pPr>
            <w:r w:rsidRPr="009D7BD7">
              <w:rPr>
                <w:sz w:val="20"/>
                <w:szCs w:val="20"/>
              </w:rPr>
              <w:t>2013 г.</w:t>
            </w:r>
          </w:p>
        </w:tc>
        <w:tc>
          <w:tcPr>
            <w:tcW w:w="1276" w:type="dxa"/>
            <w:vAlign w:val="center"/>
          </w:tcPr>
          <w:p w:rsidR="00084A16" w:rsidRPr="009D7BD7" w:rsidRDefault="00084A16" w:rsidP="00084A16">
            <w:pPr>
              <w:jc w:val="center"/>
              <w:rPr>
                <w:sz w:val="20"/>
                <w:szCs w:val="20"/>
              </w:rPr>
            </w:pPr>
            <w:r w:rsidRPr="009D7BD7">
              <w:rPr>
                <w:sz w:val="20"/>
                <w:szCs w:val="20"/>
              </w:rPr>
              <w:t>2014 г.</w:t>
            </w:r>
          </w:p>
        </w:tc>
        <w:tc>
          <w:tcPr>
            <w:tcW w:w="1276" w:type="dxa"/>
            <w:vAlign w:val="center"/>
          </w:tcPr>
          <w:p w:rsidR="00084A16" w:rsidRPr="009D7BD7" w:rsidRDefault="00084A16" w:rsidP="00084A16">
            <w:pPr>
              <w:jc w:val="center"/>
              <w:rPr>
                <w:sz w:val="20"/>
                <w:szCs w:val="20"/>
              </w:rPr>
            </w:pPr>
            <w:r w:rsidRPr="009D7BD7">
              <w:rPr>
                <w:sz w:val="20"/>
                <w:szCs w:val="20"/>
              </w:rPr>
              <w:t>2015 г.</w:t>
            </w:r>
          </w:p>
        </w:tc>
        <w:tc>
          <w:tcPr>
            <w:tcW w:w="1417" w:type="dxa"/>
            <w:vAlign w:val="center"/>
          </w:tcPr>
          <w:p w:rsidR="00084A16" w:rsidRPr="009D7BD7" w:rsidRDefault="00084A16" w:rsidP="00084A16">
            <w:pPr>
              <w:jc w:val="center"/>
              <w:rPr>
                <w:sz w:val="20"/>
                <w:szCs w:val="20"/>
              </w:rPr>
            </w:pPr>
            <w:r w:rsidRPr="009D7BD7">
              <w:rPr>
                <w:sz w:val="20"/>
                <w:szCs w:val="20"/>
              </w:rPr>
              <w:t>2016 г.</w:t>
            </w:r>
          </w:p>
        </w:tc>
        <w:tc>
          <w:tcPr>
            <w:tcW w:w="1418" w:type="dxa"/>
            <w:vAlign w:val="center"/>
          </w:tcPr>
          <w:p w:rsidR="00084A16" w:rsidRPr="009D7BD7" w:rsidRDefault="00084A16" w:rsidP="00084A16">
            <w:pPr>
              <w:jc w:val="center"/>
              <w:rPr>
                <w:sz w:val="20"/>
                <w:szCs w:val="20"/>
              </w:rPr>
            </w:pPr>
            <w:r w:rsidRPr="009D7BD7">
              <w:rPr>
                <w:sz w:val="20"/>
                <w:szCs w:val="20"/>
              </w:rPr>
              <w:t>2017 г.</w:t>
            </w:r>
          </w:p>
        </w:tc>
        <w:tc>
          <w:tcPr>
            <w:tcW w:w="1276" w:type="dxa"/>
            <w:vAlign w:val="center"/>
          </w:tcPr>
          <w:p w:rsidR="00084A16" w:rsidRPr="009D7BD7" w:rsidRDefault="00084A16" w:rsidP="00084A16">
            <w:pPr>
              <w:jc w:val="center"/>
              <w:rPr>
                <w:sz w:val="20"/>
                <w:szCs w:val="20"/>
              </w:rPr>
            </w:pPr>
            <w:r w:rsidRPr="009D7BD7">
              <w:rPr>
                <w:sz w:val="20"/>
                <w:szCs w:val="20"/>
              </w:rPr>
              <w:t>2018 г.</w:t>
            </w:r>
          </w:p>
        </w:tc>
        <w:tc>
          <w:tcPr>
            <w:tcW w:w="1275" w:type="dxa"/>
            <w:vAlign w:val="center"/>
          </w:tcPr>
          <w:p w:rsidR="00084A16" w:rsidRPr="009D7BD7" w:rsidRDefault="00084A16" w:rsidP="00084A16">
            <w:pPr>
              <w:jc w:val="center"/>
              <w:rPr>
                <w:sz w:val="20"/>
                <w:szCs w:val="20"/>
              </w:rPr>
            </w:pPr>
            <w:r w:rsidRPr="009D7BD7">
              <w:rPr>
                <w:sz w:val="20"/>
                <w:szCs w:val="20"/>
              </w:rPr>
              <w:t>2019 г.</w:t>
            </w:r>
          </w:p>
        </w:tc>
      </w:tr>
      <w:tr w:rsidR="00275E02" w:rsidRPr="009D7BD7" w:rsidTr="00C86F3A">
        <w:tc>
          <w:tcPr>
            <w:tcW w:w="518" w:type="dxa"/>
            <w:vAlign w:val="center"/>
          </w:tcPr>
          <w:p w:rsidR="00275E02" w:rsidRPr="009D7BD7" w:rsidRDefault="00275E02" w:rsidP="00084A16">
            <w:pPr>
              <w:jc w:val="center"/>
              <w:rPr>
                <w:sz w:val="20"/>
                <w:szCs w:val="20"/>
              </w:rPr>
            </w:pPr>
            <w:r w:rsidRPr="009D7BD7">
              <w:rPr>
                <w:sz w:val="20"/>
                <w:szCs w:val="20"/>
              </w:rPr>
              <w:t>1</w:t>
            </w:r>
          </w:p>
        </w:tc>
        <w:tc>
          <w:tcPr>
            <w:tcW w:w="3040" w:type="dxa"/>
          </w:tcPr>
          <w:p w:rsidR="00275E02" w:rsidRPr="009D7BD7" w:rsidRDefault="00275E02" w:rsidP="00084A16">
            <w:pPr>
              <w:jc w:val="both"/>
              <w:rPr>
                <w:sz w:val="20"/>
                <w:szCs w:val="20"/>
              </w:rPr>
            </w:pPr>
            <w:r w:rsidRPr="009D7BD7">
              <w:rPr>
                <w:sz w:val="20"/>
                <w:szCs w:val="20"/>
              </w:rPr>
              <w:t>Подконтрольные расходы**</w:t>
            </w:r>
          </w:p>
        </w:tc>
        <w:tc>
          <w:tcPr>
            <w:tcW w:w="1123" w:type="dxa"/>
            <w:vAlign w:val="center"/>
          </w:tcPr>
          <w:p w:rsidR="00275E02" w:rsidRPr="009D7BD7" w:rsidRDefault="00275E02" w:rsidP="00084A16">
            <w:pPr>
              <w:jc w:val="center"/>
              <w:rPr>
                <w:sz w:val="20"/>
                <w:szCs w:val="20"/>
              </w:rPr>
            </w:pPr>
            <w:r w:rsidRPr="009D7BD7">
              <w:rPr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vAlign w:val="center"/>
          </w:tcPr>
          <w:p w:rsidR="00275E02" w:rsidRPr="00C86F3A" w:rsidRDefault="00275E02" w:rsidP="00C86F3A">
            <w:pPr>
              <w:jc w:val="center"/>
              <w:rPr>
                <w:sz w:val="22"/>
                <w:szCs w:val="22"/>
              </w:rPr>
            </w:pPr>
            <w:r w:rsidRPr="00C86F3A">
              <w:rPr>
                <w:sz w:val="22"/>
                <w:szCs w:val="22"/>
              </w:rPr>
              <w:t>6988,12</w:t>
            </w:r>
          </w:p>
        </w:tc>
        <w:tc>
          <w:tcPr>
            <w:tcW w:w="1276" w:type="dxa"/>
            <w:vAlign w:val="center"/>
          </w:tcPr>
          <w:p w:rsidR="00275E02" w:rsidRPr="00C86F3A" w:rsidRDefault="00275E02" w:rsidP="00C86F3A">
            <w:pPr>
              <w:jc w:val="center"/>
              <w:rPr>
                <w:sz w:val="22"/>
                <w:szCs w:val="22"/>
              </w:rPr>
            </w:pPr>
            <w:r w:rsidRPr="00C86F3A">
              <w:rPr>
                <w:sz w:val="22"/>
                <w:szCs w:val="22"/>
              </w:rPr>
              <w:t>7 305,66</w:t>
            </w:r>
          </w:p>
        </w:tc>
        <w:tc>
          <w:tcPr>
            <w:tcW w:w="1276" w:type="dxa"/>
            <w:vAlign w:val="center"/>
          </w:tcPr>
          <w:p w:rsidR="00275E02" w:rsidRPr="00C86F3A" w:rsidRDefault="00275E02" w:rsidP="00C86F3A">
            <w:pPr>
              <w:jc w:val="center"/>
              <w:rPr>
                <w:sz w:val="22"/>
                <w:szCs w:val="22"/>
              </w:rPr>
            </w:pPr>
            <w:r w:rsidRPr="00C86F3A">
              <w:rPr>
                <w:sz w:val="22"/>
                <w:szCs w:val="22"/>
              </w:rPr>
              <w:t>7 305,66</w:t>
            </w:r>
          </w:p>
        </w:tc>
        <w:tc>
          <w:tcPr>
            <w:tcW w:w="1417" w:type="dxa"/>
            <w:vAlign w:val="center"/>
          </w:tcPr>
          <w:p w:rsidR="00275E02" w:rsidRPr="00FE5F31" w:rsidRDefault="00275E02">
            <w:pPr>
              <w:jc w:val="center"/>
              <w:rPr>
                <w:bCs/>
                <w:sz w:val="22"/>
                <w:szCs w:val="22"/>
              </w:rPr>
            </w:pPr>
            <w:r w:rsidRPr="00FE5F31">
              <w:rPr>
                <w:bCs/>
                <w:sz w:val="22"/>
                <w:szCs w:val="22"/>
              </w:rPr>
              <w:t>7 767,81</w:t>
            </w:r>
          </w:p>
        </w:tc>
        <w:tc>
          <w:tcPr>
            <w:tcW w:w="1418" w:type="dxa"/>
            <w:vAlign w:val="center"/>
          </w:tcPr>
          <w:p w:rsidR="00275E02" w:rsidRPr="00FE5F31" w:rsidRDefault="00275E02">
            <w:pPr>
              <w:jc w:val="center"/>
              <w:rPr>
                <w:bCs/>
                <w:sz w:val="22"/>
                <w:szCs w:val="22"/>
              </w:rPr>
            </w:pPr>
            <w:r w:rsidRPr="00FE5F31">
              <w:rPr>
                <w:bCs/>
                <w:sz w:val="22"/>
                <w:szCs w:val="22"/>
              </w:rPr>
              <w:t>8 136,16</w:t>
            </w:r>
          </w:p>
        </w:tc>
        <w:tc>
          <w:tcPr>
            <w:tcW w:w="1276" w:type="dxa"/>
            <w:vAlign w:val="center"/>
          </w:tcPr>
          <w:p w:rsidR="00275E02" w:rsidRPr="00FE5F31" w:rsidRDefault="00275E02">
            <w:pPr>
              <w:jc w:val="center"/>
              <w:rPr>
                <w:bCs/>
                <w:sz w:val="22"/>
                <w:szCs w:val="22"/>
              </w:rPr>
            </w:pPr>
            <w:r w:rsidRPr="00FE5F31">
              <w:rPr>
                <w:bCs/>
                <w:sz w:val="22"/>
                <w:szCs w:val="22"/>
              </w:rPr>
              <w:t>8 497,82</w:t>
            </w:r>
          </w:p>
        </w:tc>
        <w:tc>
          <w:tcPr>
            <w:tcW w:w="1275" w:type="dxa"/>
            <w:vAlign w:val="center"/>
          </w:tcPr>
          <w:p w:rsidR="00275E02" w:rsidRPr="00FE5F31" w:rsidRDefault="00275E02">
            <w:pPr>
              <w:jc w:val="center"/>
              <w:rPr>
                <w:bCs/>
                <w:sz w:val="22"/>
                <w:szCs w:val="22"/>
              </w:rPr>
            </w:pPr>
            <w:r w:rsidRPr="00FE5F31">
              <w:rPr>
                <w:bCs/>
                <w:sz w:val="22"/>
                <w:szCs w:val="22"/>
              </w:rPr>
              <w:t>8 875,54</w:t>
            </w:r>
          </w:p>
        </w:tc>
      </w:tr>
      <w:tr w:rsidR="00275E02" w:rsidRPr="009D7BD7" w:rsidTr="00C86F3A">
        <w:tc>
          <w:tcPr>
            <w:tcW w:w="518" w:type="dxa"/>
            <w:vAlign w:val="center"/>
          </w:tcPr>
          <w:p w:rsidR="00275E02" w:rsidRPr="009D7BD7" w:rsidRDefault="00275E02" w:rsidP="00084A16">
            <w:pPr>
              <w:jc w:val="center"/>
              <w:rPr>
                <w:sz w:val="20"/>
                <w:szCs w:val="20"/>
              </w:rPr>
            </w:pPr>
            <w:r w:rsidRPr="009D7BD7">
              <w:rPr>
                <w:sz w:val="20"/>
                <w:szCs w:val="20"/>
              </w:rPr>
              <w:t>2</w:t>
            </w:r>
          </w:p>
        </w:tc>
        <w:tc>
          <w:tcPr>
            <w:tcW w:w="3040" w:type="dxa"/>
          </w:tcPr>
          <w:p w:rsidR="00275E02" w:rsidRPr="009D7BD7" w:rsidRDefault="00275E02" w:rsidP="00084A16">
            <w:pPr>
              <w:jc w:val="both"/>
              <w:rPr>
                <w:sz w:val="20"/>
                <w:szCs w:val="20"/>
              </w:rPr>
            </w:pPr>
            <w:r w:rsidRPr="009D7BD7">
              <w:rPr>
                <w:sz w:val="20"/>
                <w:szCs w:val="20"/>
              </w:rPr>
              <w:t>Неподконтрольные расходы</w:t>
            </w:r>
          </w:p>
        </w:tc>
        <w:tc>
          <w:tcPr>
            <w:tcW w:w="1123" w:type="dxa"/>
            <w:vAlign w:val="center"/>
          </w:tcPr>
          <w:p w:rsidR="00275E02" w:rsidRPr="009D7BD7" w:rsidRDefault="00275E02" w:rsidP="00084A16">
            <w:pPr>
              <w:jc w:val="center"/>
              <w:rPr>
                <w:sz w:val="20"/>
                <w:szCs w:val="20"/>
              </w:rPr>
            </w:pPr>
            <w:r w:rsidRPr="009D7BD7">
              <w:rPr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vAlign w:val="center"/>
          </w:tcPr>
          <w:p w:rsidR="00275E02" w:rsidRPr="00C86F3A" w:rsidRDefault="00275E02" w:rsidP="00C86F3A">
            <w:pPr>
              <w:jc w:val="center"/>
              <w:rPr>
                <w:sz w:val="22"/>
                <w:szCs w:val="22"/>
              </w:rPr>
            </w:pPr>
            <w:r w:rsidRPr="00C86F3A">
              <w:rPr>
                <w:sz w:val="22"/>
                <w:szCs w:val="22"/>
              </w:rPr>
              <w:t>1340,79</w:t>
            </w:r>
          </w:p>
        </w:tc>
        <w:tc>
          <w:tcPr>
            <w:tcW w:w="1276" w:type="dxa"/>
            <w:vAlign w:val="center"/>
          </w:tcPr>
          <w:p w:rsidR="00275E02" w:rsidRPr="00C86F3A" w:rsidRDefault="00275E02" w:rsidP="00C86F3A">
            <w:pPr>
              <w:jc w:val="center"/>
              <w:rPr>
                <w:sz w:val="22"/>
                <w:szCs w:val="22"/>
              </w:rPr>
            </w:pPr>
            <w:r w:rsidRPr="00C86F3A">
              <w:rPr>
                <w:sz w:val="22"/>
                <w:szCs w:val="22"/>
              </w:rPr>
              <w:t>1 366,14</w:t>
            </w:r>
          </w:p>
        </w:tc>
        <w:tc>
          <w:tcPr>
            <w:tcW w:w="1276" w:type="dxa"/>
            <w:vAlign w:val="center"/>
          </w:tcPr>
          <w:p w:rsidR="00275E02" w:rsidRPr="00C86F3A" w:rsidRDefault="00275E02" w:rsidP="00C86F3A">
            <w:pPr>
              <w:jc w:val="center"/>
              <w:rPr>
                <w:sz w:val="22"/>
                <w:szCs w:val="22"/>
              </w:rPr>
            </w:pPr>
            <w:r w:rsidRPr="00C86F3A">
              <w:rPr>
                <w:sz w:val="22"/>
                <w:szCs w:val="22"/>
              </w:rPr>
              <w:t>1 366,14</w:t>
            </w:r>
          </w:p>
        </w:tc>
        <w:tc>
          <w:tcPr>
            <w:tcW w:w="1417" w:type="dxa"/>
            <w:vAlign w:val="center"/>
          </w:tcPr>
          <w:p w:rsidR="00275E02" w:rsidRPr="00FE5F31" w:rsidRDefault="00275E02">
            <w:pPr>
              <w:jc w:val="center"/>
              <w:rPr>
                <w:bCs/>
                <w:sz w:val="22"/>
                <w:szCs w:val="22"/>
              </w:rPr>
            </w:pPr>
            <w:r w:rsidRPr="00FE5F31">
              <w:rPr>
                <w:bCs/>
                <w:sz w:val="22"/>
                <w:szCs w:val="22"/>
              </w:rPr>
              <w:t>2 226,83</w:t>
            </w:r>
          </w:p>
        </w:tc>
        <w:tc>
          <w:tcPr>
            <w:tcW w:w="1418" w:type="dxa"/>
            <w:vAlign w:val="center"/>
          </w:tcPr>
          <w:p w:rsidR="00275E02" w:rsidRPr="00FE5F31" w:rsidRDefault="00275E02">
            <w:pPr>
              <w:jc w:val="center"/>
              <w:rPr>
                <w:bCs/>
                <w:sz w:val="22"/>
                <w:szCs w:val="22"/>
              </w:rPr>
            </w:pPr>
            <w:r w:rsidRPr="00FE5F31">
              <w:rPr>
                <w:bCs/>
                <w:sz w:val="22"/>
                <w:szCs w:val="22"/>
              </w:rPr>
              <w:t>1 969,23</w:t>
            </w:r>
          </w:p>
        </w:tc>
        <w:tc>
          <w:tcPr>
            <w:tcW w:w="1276" w:type="dxa"/>
            <w:vAlign w:val="center"/>
          </w:tcPr>
          <w:p w:rsidR="00275E02" w:rsidRPr="00FE5F31" w:rsidRDefault="00275E02">
            <w:pPr>
              <w:jc w:val="center"/>
              <w:rPr>
                <w:bCs/>
                <w:sz w:val="22"/>
                <w:szCs w:val="22"/>
              </w:rPr>
            </w:pPr>
            <w:r w:rsidRPr="00FE5F31">
              <w:rPr>
                <w:bCs/>
                <w:sz w:val="22"/>
                <w:szCs w:val="22"/>
              </w:rPr>
              <w:t>2 002,34</w:t>
            </w:r>
          </w:p>
        </w:tc>
        <w:tc>
          <w:tcPr>
            <w:tcW w:w="1275" w:type="dxa"/>
            <w:vAlign w:val="center"/>
          </w:tcPr>
          <w:p w:rsidR="00275E02" w:rsidRPr="00FE5F31" w:rsidRDefault="00275E02">
            <w:pPr>
              <w:jc w:val="center"/>
              <w:rPr>
                <w:bCs/>
                <w:sz w:val="22"/>
                <w:szCs w:val="22"/>
              </w:rPr>
            </w:pPr>
            <w:r w:rsidRPr="00FE5F31">
              <w:rPr>
                <w:bCs/>
                <w:sz w:val="22"/>
                <w:szCs w:val="22"/>
              </w:rPr>
              <w:t>2 037,02</w:t>
            </w:r>
          </w:p>
        </w:tc>
      </w:tr>
      <w:tr w:rsidR="00C86F3A" w:rsidRPr="009D7BD7" w:rsidTr="00C86F3A">
        <w:tc>
          <w:tcPr>
            <w:tcW w:w="518" w:type="dxa"/>
            <w:vAlign w:val="center"/>
          </w:tcPr>
          <w:p w:rsidR="00C86F3A" w:rsidRPr="009D7BD7" w:rsidRDefault="00C86F3A" w:rsidP="00084A16">
            <w:pPr>
              <w:jc w:val="center"/>
              <w:rPr>
                <w:i/>
                <w:sz w:val="20"/>
                <w:szCs w:val="20"/>
              </w:rPr>
            </w:pPr>
            <w:r w:rsidRPr="009D7BD7">
              <w:rPr>
                <w:i/>
                <w:sz w:val="20"/>
                <w:szCs w:val="20"/>
              </w:rPr>
              <w:t>2.1</w:t>
            </w:r>
          </w:p>
        </w:tc>
        <w:tc>
          <w:tcPr>
            <w:tcW w:w="3040" w:type="dxa"/>
          </w:tcPr>
          <w:p w:rsidR="00C86F3A" w:rsidRPr="009D7BD7" w:rsidRDefault="00C86F3A" w:rsidP="00084A16">
            <w:pPr>
              <w:jc w:val="both"/>
              <w:rPr>
                <w:i/>
                <w:sz w:val="20"/>
                <w:szCs w:val="20"/>
              </w:rPr>
            </w:pPr>
            <w:r w:rsidRPr="009D7BD7">
              <w:rPr>
                <w:i/>
                <w:sz w:val="20"/>
                <w:szCs w:val="20"/>
              </w:rPr>
              <w:t xml:space="preserve">  - в т.ч. капитальные вложения</w:t>
            </w:r>
          </w:p>
        </w:tc>
        <w:tc>
          <w:tcPr>
            <w:tcW w:w="1123" w:type="dxa"/>
            <w:vAlign w:val="center"/>
          </w:tcPr>
          <w:p w:rsidR="00C86F3A" w:rsidRPr="009D7BD7" w:rsidRDefault="00C86F3A" w:rsidP="00084A16">
            <w:pPr>
              <w:jc w:val="center"/>
              <w:rPr>
                <w:i/>
                <w:sz w:val="20"/>
                <w:szCs w:val="20"/>
              </w:rPr>
            </w:pPr>
            <w:r w:rsidRPr="009D7BD7">
              <w:rPr>
                <w:i/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vAlign w:val="center"/>
          </w:tcPr>
          <w:p w:rsidR="00C86F3A" w:rsidRPr="00C86F3A" w:rsidRDefault="00C86F3A" w:rsidP="00C86F3A">
            <w:pPr>
              <w:jc w:val="center"/>
              <w:rPr>
                <w:sz w:val="22"/>
                <w:szCs w:val="22"/>
              </w:rPr>
            </w:pPr>
            <w:r w:rsidRPr="00C86F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C86F3A" w:rsidRPr="00C86F3A" w:rsidRDefault="00C86F3A" w:rsidP="00C86F3A">
            <w:pPr>
              <w:jc w:val="center"/>
              <w:rPr>
                <w:sz w:val="22"/>
                <w:szCs w:val="22"/>
              </w:rPr>
            </w:pPr>
            <w:r w:rsidRPr="00C86F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C86F3A" w:rsidRPr="00C86F3A" w:rsidRDefault="00C86F3A" w:rsidP="00C86F3A">
            <w:pPr>
              <w:jc w:val="center"/>
              <w:rPr>
                <w:sz w:val="22"/>
                <w:szCs w:val="22"/>
              </w:rPr>
            </w:pPr>
            <w:r w:rsidRPr="00C86F3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C86F3A" w:rsidRPr="00FE5F31" w:rsidRDefault="00FE5F31" w:rsidP="00C86F3A">
            <w:pPr>
              <w:jc w:val="center"/>
              <w:rPr>
                <w:sz w:val="22"/>
                <w:szCs w:val="22"/>
              </w:rPr>
            </w:pPr>
            <w:r w:rsidRPr="00FE5F31">
              <w:rPr>
                <w:sz w:val="22"/>
                <w:szCs w:val="22"/>
              </w:rPr>
              <w:t>305,19</w:t>
            </w:r>
          </w:p>
        </w:tc>
        <w:tc>
          <w:tcPr>
            <w:tcW w:w="1418" w:type="dxa"/>
            <w:vAlign w:val="center"/>
          </w:tcPr>
          <w:p w:rsidR="00C86F3A" w:rsidRPr="00FE5F31" w:rsidRDefault="0061431C" w:rsidP="00C86F3A">
            <w:pPr>
              <w:jc w:val="center"/>
              <w:rPr>
                <w:sz w:val="22"/>
                <w:szCs w:val="22"/>
              </w:rPr>
            </w:pPr>
            <w:r w:rsidRPr="00FE5F3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C86F3A" w:rsidRPr="00FE5F31" w:rsidRDefault="0061431C" w:rsidP="00C86F3A">
            <w:pPr>
              <w:jc w:val="center"/>
              <w:rPr>
                <w:sz w:val="22"/>
                <w:szCs w:val="22"/>
              </w:rPr>
            </w:pPr>
            <w:r w:rsidRPr="00FE5F3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C86F3A" w:rsidRPr="00FE5F31" w:rsidRDefault="0061431C" w:rsidP="00C86F3A">
            <w:pPr>
              <w:jc w:val="center"/>
              <w:rPr>
                <w:sz w:val="22"/>
                <w:szCs w:val="22"/>
              </w:rPr>
            </w:pPr>
            <w:r w:rsidRPr="00FE5F31">
              <w:rPr>
                <w:sz w:val="22"/>
                <w:szCs w:val="22"/>
              </w:rPr>
              <w:t>-</w:t>
            </w:r>
          </w:p>
        </w:tc>
      </w:tr>
      <w:tr w:rsidR="00C86F3A" w:rsidRPr="009D7BD7" w:rsidTr="00C86F3A">
        <w:tc>
          <w:tcPr>
            <w:tcW w:w="518" w:type="dxa"/>
            <w:vAlign w:val="center"/>
          </w:tcPr>
          <w:p w:rsidR="00C86F3A" w:rsidRPr="009D7BD7" w:rsidRDefault="00C86F3A" w:rsidP="00084A16">
            <w:pPr>
              <w:jc w:val="center"/>
              <w:rPr>
                <w:sz w:val="20"/>
                <w:szCs w:val="20"/>
              </w:rPr>
            </w:pPr>
            <w:r w:rsidRPr="009D7BD7">
              <w:rPr>
                <w:sz w:val="20"/>
                <w:szCs w:val="20"/>
              </w:rPr>
              <w:t>3</w:t>
            </w:r>
          </w:p>
        </w:tc>
        <w:tc>
          <w:tcPr>
            <w:tcW w:w="3040" w:type="dxa"/>
          </w:tcPr>
          <w:p w:rsidR="00C86F3A" w:rsidRPr="009D7BD7" w:rsidRDefault="00C86F3A" w:rsidP="00084A16">
            <w:pPr>
              <w:ind w:left="-64"/>
              <w:jc w:val="both"/>
              <w:rPr>
                <w:sz w:val="20"/>
                <w:szCs w:val="20"/>
              </w:rPr>
            </w:pPr>
            <w:r w:rsidRPr="009D7BD7">
              <w:rPr>
                <w:sz w:val="20"/>
                <w:szCs w:val="20"/>
              </w:rPr>
              <w:t xml:space="preserve">Корректировка НВВ с учетом надежности и качества реализуемых услуг </w:t>
            </w:r>
          </w:p>
        </w:tc>
        <w:tc>
          <w:tcPr>
            <w:tcW w:w="1123" w:type="dxa"/>
            <w:vAlign w:val="center"/>
          </w:tcPr>
          <w:p w:rsidR="00C86F3A" w:rsidRPr="009D7BD7" w:rsidRDefault="00C86F3A" w:rsidP="00084A16">
            <w:pPr>
              <w:jc w:val="center"/>
              <w:rPr>
                <w:sz w:val="20"/>
                <w:szCs w:val="20"/>
              </w:rPr>
            </w:pPr>
            <w:r w:rsidRPr="009D7BD7">
              <w:rPr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vAlign w:val="center"/>
          </w:tcPr>
          <w:p w:rsidR="00C86F3A" w:rsidRPr="00C86F3A" w:rsidRDefault="00C86F3A" w:rsidP="00C86F3A">
            <w:pPr>
              <w:jc w:val="center"/>
              <w:rPr>
                <w:sz w:val="22"/>
                <w:szCs w:val="22"/>
              </w:rPr>
            </w:pPr>
            <w:r w:rsidRPr="00C86F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C86F3A" w:rsidRPr="00C86F3A" w:rsidRDefault="00C86F3A" w:rsidP="00C86F3A">
            <w:pPr>
              <w:jc w:val="center"/>
              <w:rPr>
                <w:sz w:val="22"/>
                <w:szCs w:val="22"/>
              </w:rPr>
            </w:pPr>
            <w:r w:rsidRPr="00C86F3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C86F3A" w:rsidRPr="00C86F3A" w:rsidRDefault="00C86F3A" w:rsidP="00C86F3A">
            <w:pPr>
              <w:jc w:val="center"/>
              <w:rPr>
                <w:sz w:val="22"/>
                <w:szCs w:val="22"/>
              </w:rPr>
            </w:pPr>
            <w:r w:rsidRPr="00C86F3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C86F3A" w:rsidRPr="00FE5F31" w:rsidRDefault="0061431C" w:rsidP="00C86F3A">
            <w:pPr>
              <w:jc w:val="center"/>
              <w:rPr>
                <w:sz w:val="22"/>
                <w:szCs w:val="22"/>
              </w:rPr>
            </w:pPr>
            <w:r w:rsidRPr="00FE5F31">
              <w:rPr>
                <w:sz w:val="22"/>
                <w:szCs w:val="22"/>
              </w:rPr>
              <w:t>112,73</w:t>
            </w:r>
          </w:p>
        </w:tc>
        <w:tc>
          <w:tcPr>
            <w:tcW w:w="1418" w:type="dxa"/>
            <w:vAlign w:val="center"/>
          </w:tcPr>
          <w:p w:rsidR="00C86F3A" w:rsidRPr="00FE5F31" w:rsidRDefault="0061431C" w:rsidP="00C86F3A">
            <w:pPr>
              <w:jc w:val="center"/>
              <w:rPr>
                <w:sz w:val="22"/>
                <w:szCs w:val="22"/>
              </w:rPr>
            </w:pPr>
            <w:r w:rsidRPr="00FE5F3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C86F3A" w:rsidRPr="00FE5F31" w:rsidRDefault="0061431C" w:rsidP="00C86F3A">
            <w:pPr>
              <w:jc w:val="center"/>
              <w:rPr>
                <w:sz w:val="22"/>
                <w:szCs w:val="22"/>
              </w:rPr>
            </w:pPr>
            <w:r w:rsidRPr="00FE5F3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C86F3A" w:rsidRPr="00FE5F31" w:rsidRDefault="0061431C" w:rsidP="00C86F3A">
            <w:pPr>
              <w:jc w:val="center"/>
              <w:rPr>
                <w:sz w:val="22"/>
                <w:szCs w:val="22"/>
              </w:rPr>
            </w:pPr>
            <w:r w:rsidRPr="00FE5F31">
              <w:rPr>
                <w:sz w:val="22"/>
                <w:szCs w:val="22"/>
              </w:rPr>
              <w:t>-</w:t>
            </w:r>
          </w:p>
        </w:tc>
      </w:tr>
      <w:tr w:rsidR="0061431C" w:rsidRPr="009D7BD7" w:rsidTr="00C86F3A">
        <w:tc>
          <w:tcPr>
            <w:tcW w:w="518" w:type="dxa"/>
            <w:vAlign w:val="center"/>
          </w:tcPr>
          <w:p w:rsidR="0061431C" w:rsidRPr="009D7BD7" w:rsidRDefault="0061431C" w:rsidP="00084A16">
            <w:pPr>
              <w:jc w:val="center"/>
              <w:rPr>
                <w:sz w:val="20"/>
                <w:szCs w:val="20"/>
              </w:rPr>
            </w:pPr>
            <w:r w:rsidRPr="009D7BD7">
              <w:rPr>
                <w:sz w:val="20"/>
                <w:szCs w:val="20"/>
              </w:rPr>
              <w:t>4</w:t>
            </w:r>
          </w:p>
        </w:tc>
        <w:tc>
          <w:tcPr>
            <w:tcW w:w="3040" w:type="dxa"/>
          </w:tcPr>
          <w:p w:rsidR="0061431C" w:rsidRPr="009D7BD7" w:rsidRDefault="0061431C" w:rsidP="00084A16">
            <w:pPr>
              <w:ind w:left="-64"/>
              <w:jc w:val="both"/>
              <w:rPr>
                <w:sz w:val="20"/>
                <w:szCs w:val="20"/>
              </w:rPr>
            </w:pPr>
            <w:r w:rsidRPr="009D7BD7">
              <w:rPr>
                <w:b/>
                <w:sz w:val="20"/>
                <w:szCs w:val="20"/>
              </w:rPr>
              <w:t>Итого необходимая валовая выручка на содержание сетей</w:t>
            </w:r>
            <w:r w:rsidRPr="009D7BD7">
              <w:rPr>
                <w:sz w:val="20"/>
                <w:szCs w:val="20"/>
              </w:rPr>
              <w:t xml:space="preserve"> *</w:t>
            </w:r>
          </w:p>
        </w:tc>
        <w:tc>
          <w:tcPr>
            <w:tcW w:w="1123" w:type="dxa"/>
            <w:vAlign w:val="center"/>
          </w:tcPr>
          <w:p w:rsidR="0061431C" w:rsidRPr="009D7BD7" w:rsidRDefault="0061431C" w:rsidP="00084A16">
            <w:pPr>
              <w:jc w:val="center"/>
              <w:rPr>
                <w:sz w:val="20"/>
                <w:szCs w:val="20"/>
              </w:rPr>
            </w:pPr>
            <w:r w:rsidRPr="009D7BD7">
              <w:rPr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vAlign w:val="center"/>
          </w:tcPr>
          <w:p w:rsidR="0061431C" w:rsidRPr="00C86F3A" w:rsidRDefault="0061431C" w:rsidP="00C86F3A">
            <w:pPr>
              <w:jc w:val="center"/>
              <w:rPr>
                <w:sz w:val="22"/>
                <w:szCs w:val="22"/>
              </w:rPr>
            </w:pPr>
            <w:r w:rsidRPr="00C86F3A">
              <w:rPr>
                <w:sz w:val="22"/>
                <w:szCs w:val="22"/>
              </w:rPr>
              <w:t>8328,91</w:t>
            </w:r>
          </w:p>
        </w:tc>
        <w:tc>
          <w:tcPr>
            <w:tcW w:w="1276" w:type="dxa"/>
            <w:vAlign w:val="center"/>
          </w:tcPr>
          <w:p w:rsidR="0061431C" w:rsidRPr="00C86F3A" w:rsidRDefault="0061431C" w:rsidP="00C86F3A">
            <w:pPr>
              <w:jc w:val="center"/>
              <w:rPr>
                <w:sz w:val="22"/>
                <w:szCs w:val="22"/>
              </w:rPr>
            </w:pPr>
            <w:r w:rsidRPr="00C86F3A">
              <w:rPr>
                <w:sz w:val="22"/>
                <w:szCs w:val="22"/>
              </w:rPr>
              <w:t>8 671,80</w:t>
            </w:r>
          </w:p>
        </w:tc>
        <w:tc>
          <w:tcPr>
            <w:tcW w:w="1276" w:type="dxa"/>
            <w:vAlign w:val="center"/>
          </w:tcPr>
          <w:p w:rsidR="0061431C" w:rsidRPr="00C86F3A" w:rsidRDefault="0061431C" w:rsidP="00C86F3A">
            <w:pPr>
              <w:jc w:val="center"/>
              <w:rPr>
                <w:sz w:val="22"/>
                <w:szCs w:val="22"/>
              </w:rPr>
            </w:pPr>
            <w:r w:rsidRPr="00C86F3A">
              <w:rPr>
                <w:sz w:val="22"/>
                <w:szCs w:val="22"/>
              </w:rPr>
              <w:t>8 671,80</w:t>
            </w:r>
          </w:p>
        </w:tc>
        <w:tc>
          <w:tcPr>
            <w:tcW w:w="1417" w:type="dxa"/>
            <w:vAlign w:val="center"/>
          </w:tcPr>
          <w:p w:rsidR="0061431C" w:rsidRPr="00FE5F31" w:rsidRDefault="0061431C">
            <w:pPr>
              <w:jc w:val="center"/>
              <w:rPr>
                <w:bCs/>
                <w:sz w:val="22"/>
                <w:szCs w:val="22"/>
              </w:rPr>
            </w:pPr>
            <w:r w:rsidRPr="00FE5F31">
              <w:rPr>
                <w:bCs/>
                <w:sz w:val="22"/>
                <w:szCs w:val="22"/>
              </w:rPr>
              <w:t>10 107,38</w:t>
            </w:r>
          </w:p>
        </w:tc>
        <w:tc>
          <w:tcPr>
            <w:tcW w:w="1418" w:type="dxa"/>
            <w:vAlign w:val="center"/>
          </w:tcPr>
          <w:p w:rsidR="0061431C" w:rsidRPr="00FE5F31" w:rsidRDefault="0061431C">
            <w:pPr>
              <w:jc w:val="center"/>
              <w:rPr>
                <w:bCs/>
                <w:sz w:val="22"/>
                <w:szCs w:val="22"/>
              </w:rPr>
            </w:pPr>
            <w:r w:rsidRPr="00FE5F31">
              <w:rPr>
                <w:bCs/>
                <w:sz w:val="22"/>
                <w:szCs w:val="22"/>
              </w:rPr>
              <w:t>10 105,39</w:t>
            </w:r>
          </w:p>
        </w:tc>
        <w:tc>
          <w:tcPr>
            <w:tcW w:w="1276" w:type="dxa"/>
            <w:vAlign w:val="center"/>
          </w:tcPr>
          <w:p w:rsidR="0061431C" w:rsidRPr="00FE5F31" w:rsidRDefault="0061431C">
            <w:pPr>
              <w:jc w:val="center"/>
              <w:rPr>
                <w:bCs/>
                <w:sz w:val="22"/>
                <w:szCs w:val="22"/>
              </w:rPr>
            </w:pPr>
            <w:r w:rsidRPr="00FE5F31">
              <w:rPr>
                <w:bCs/>
                <w:sz w:val="22"/>
                <w:szCs w:val="22"/>
              </w:rPr>
              <w:t>10 500,15</w:t>
            </w:r>
          </w:p>
        </w:tc>
        <w:tc>
          <w:tcPr>
            <w:tcW w:w="1275" w:type="dxa"/>
            <w:vAlign w:val="center"/>
          </w:tcPr>
          <w:p w:rsidR="0061431C" w:rsidRPr="00FE5F31" w:rsidRDefault="0061431C">
            <w:pPr>
              <w:jc w:val="center"/>
              <w:rPr>
                <w:bCs/>
                <w:sz w:val="22"/>
                <w:szCs w:val="22"/>
              </w:rPr>
            </w:pPr>
            <w:r w:rsidRPr="00FE5F31">
              <w:rPr>
                <w:bCs/>
                <w:sz w:val="22"/>
                <w:szCs w:val="22"/>
              </w:rPr>
              <w:t>10 912,56</w:t>
            </w:r>
          </w:p>
        </w:tc>
      </w:tr>
      <w:tr w:rsidR="00FA7F51" w:rsidRPr="009D7BD7" w:rsidTr="00C86F3A">
        <w:tc>
          <w:tcPr>
            <w:tcW w:w="518" w:type="dxa"/>
            <w:vAlign w:val="center"/>
          </w:tcPr>
          <w:p w:rsidR="00FA7F51" w:rsidRPr="0094596A" w:rsidRDefault="00FA7F51" w:rsidP="00084A16">
            <w:pPr>
              <w:jc w:val="center"/>
              <w:rPr>
                <w:sz w:val="20"/>
                <w:szCs w:val="20"/>
              </w:rPr>
            </w:pPr>
            <w:r w:rsidRPr="0094596A">
              <w:rPr>
                <w:sz w:val="20"/>
                <w:szCs w:val="20"/>
              </w:rPr>
              <w:t>5</w:t>
            </w:r>
          </w:p>
        </w:tc>
        <w:tc>
          <w:tcPr>
            <w:tcW w:w="3040" w:type="dxa"/>
            <w:vAlign w:val="center"/>
          </w:tcPr>
          <w:p w:rsidR="00FA7F51" w:rsidRPr="00FA7F51" w:rsidRDefault="00FA7F51" w:rsidP="00084A16">
            <w:pPr>
              <w:jc w:val="center"/>
              <w:rPr>
                <w:sz w:val="20"/>
                <w:szCs w:val="20"/>
              </w:rPr>
            </w:pPr>
            <w:r w:rsidRPr="00FA7F51">
              <w:rPr>
                <w:sz w:val="20"/>
                <w:szCs w:val="20"/>
              </w:rPr>
              <w:t>Уровень нормативных потерь</w:t>
            </w:r>
          </w:p>
        </w:tc>
        <w:tc>
          <w:tcPr>
            <w:tcW w:w="1123" w:type="dxa"/>
          </w:tcPr>
          <w:p w:rsidR="00FA7F51" w:rsidRPr="009D7BD7" w:rsidRDefault="00FA7F51" w:rsidP="00084A16">
            <w:pPr>
              <w:jc w:val="center"/>
              <w:rPr>
                <w:sz w:val="20"/>
                <w:szCs w:val="20"/>
              </w:rPr>
            </w:pPr>
            <w:r w:rsidRPr="009D7BD7">
              <w:rPr>
                <w:sz w:val="20"/>
                <w:szCs w:val="20"/>
              </w:rPr>
              <w:t>%</w:t>
            </w:r>
          </w:p>
        </w:tc>
        <w:tc>
          <w:tcPr>
            <w:tcW w:w="1272" w:type="dxa"/>
            <w:vAlign w:val="center"/>
          </w:tcPr>
          <w:p w:rsidR="00FA7F51" w:rsidRPr="00FA7F51" w:rsidRDefault="00FA7F51" w:rsidP="00FE116C">
            <w:pPr>
              <w:jc w:val="center"/>
              <w:rPr>
                <w:sz w:val="22"/>
                <w:szCs w:val="20"/>
              </w:rPr>
            </w:pPr>
            <w:r w:rsidRPr="00FA7F51">
              <w:rPr>
                <w:sz w:val="22"/>
                <w:szCs w:val="20"/>
              </w:rPr>
              <w:t>5,8521</w:t>
            </w:r>
          </w:p>
        </w:tc>
        <w:tc>
          <w:tcPr>
            <w:tcW w:w="1276" w:type="dxa"/>
            <w:vAlign w:val="center"/>
          </w:tcPr>
          <w:p w:rsidR="00FA7F51" w:rsidRPr="00FA7F51" w:rsidRDefault="00FA7F51" w:rsidP="00FE116C">
            <w:pPr>
              <w:jc w:val="center"/>
              <w:rPr>
                <w:sz w:val="22"/>
                <w:szCs w:val="20"/>
              </w:rPr>
            </w:pPr>
            <w:r w:rsidRPr="00FA7F51">
              <w:rPr>
                <w:sz w:val="22"/>
                <w:szCs w:val="20"/>
              </w:rPr>
              <w:t>5,8521</w:t>
            </w:r>
          </w:p>
        </w:tc>
        <w:tc>
          <w:tcPr>
            <w:tcW w:w="1276" w:type="dxa"/>
            <w:vAlign w:val="center"/>
          </w:tcPr>
          <w:p w:rsidR="00FA7F51" w:rsidRPr="00FA7F51" w:rsidRDefault="00FA7F51" w:rsidP="00FE116C">
            <w:pPr>
              <w:jc w:val="center"/>
              <w:rPr>
                <w:sz w:val="22"/>
                <w:szCs w:val="20"/>
              </w:rPr>
            </w:pPr>
            <w:r w:rsidRPr="00FA7F51">
              <w:rPr>
                <w:sz w:val="22"/>
                <w:szCs w:val="20"/>
              </w:rPr>
              <w:t>2,3300</w:t>
            </w:r>
          </w:p>
        </w:tc>
        <w:tc>
          <w:tcPr>
            <w:tcW w:w="1417" w:type="dxa"/>
            <w:vAlign w:val="center"/>
          </w:tcPr>
          <w:p w:rsidR="00FA7F51" w:rsidRPr="00FE5F31" w:rsidRDefault="00250840" w:rsidP="00FE116C">
            <w:pPr>
              <w:jc w:val="center"/>
              <w:rPr>
                <w:sz w:val="22"/>
                <w:szCs w:val="22"/>
              </w:rPr>
            </w:pPr>
            <w:r w:rsidRPr="00FE5F31">
              <w:rPr>
                <w:sz w:val="22"/>
                <w:szCs w:val="22"/>
              </w:rPr>
              <w:t>2,3300</w:t>
            </w:r>
          </w:p>
        </w:tc>
        <w:tc>
          <w:tcPr>
            <w:tcW w:w="1418" w:type="dxa"/>
            <w:vAlign w:val="center"/>
          </w:tcPr>
          <w:p w:rsidR="00FA7F51" w:rsidRPr="00FE5F31" w:rsidRDefault="00250840" w:rsidP="00FE116C">
            <w:pPr>
              <w:jc w:val="center"/>
              <w:rPr>
                <w:sz w:val="22"/>
                <w:szCs w:val="22"/>
              </w:rPr>
            </w:pPr>
            <w:r w:rsidRPr="00FE5F31">
              <w:rPr>
                <w:sz w:val="22"/>
                <w:szCs w:val="22"/>
              </w:rPr>
              <w:t>2,3300</w:t>
            </w:r>
          </w:p>
        </w:tc>
        <w:tc>
          <w:tcPr>
            <w:tcW w:w="1276" w:type="dxa"/>
            <w:vAlign w:val="center"/>
          </w:tcPr>
          <w:p w:rsidR="00FA7F51" w:rsidRPr="00FE5F31" w:rsidRDefault="00250840" w:rsidP="00FE116C">
            <w:pPr>
              <w:jc w:val="center"/>
              <w:rPr>
                <w:sz w:val="22"/>
                <w:szCs w:val="22"/>
              </w:rPr>
            </w:pPr>
            <w:r w:rsidRPr="00FE5F31">
              <w:rPr>
                <w:sz w:val="22"/>
                <w:szCs w:val="22"/>
              </w:rPr>
              <w:t>2,3300</w:t>
            </w:r>
          </w:p>
        </w:tc>
        <w:tc>
          <w:tcPr>
            <w:tcW w:w="1275" w:type="dxa"/>
            <w:vAlign w:val="center"/>
          </w:tcPr>
          <w:p w:rsidR="00FA7F51" w:rsidRPr="00FE5F31" w:rsidRDefault="00250840" w:rsidP="00FE116C">
            <w:pPr>
              <w:jc w:val="center"/>
              <w:rPr>
                <w:sz w:val="22"/>
                <w:szCs w:val="22"/>
              </w:rPr>
            </w:pPr>
            <w:r w:rsidRPr="00FE5F31">
              <w:rPr>
                <w:sz w:val="22"/>
                <w:szCs w:val="22"/>
              </w:rPr>
              <w:t>2,3300</w:t>
            </w:r>
          </w:p>
        </w:tc>
      </w:tr>
      <w:tr w:rsidR="0061431C" w:rsidRPr="009D7BD7" w:rsidTr="00C86F3A">
        <w:tc>
          <w:tcPr>
            <w:tcW w:w="518" w:type="dxa"/>
            <w:vAlign w:val="center"/>
          </w:tcPr>
          <w:p w:rsidR="0061431C" w:rsidRPr="009D7BD7" w:rsidRDefault="0061431C" w:rsidP="00084A16">
            <w:pPr>
              <w:jc w:val="center"/>
              <w:rPr>
                <w:sz w:val="20"/>
                <w:szCs w:val="20"/>
              </w:rPr>
            </w:pPr>
            <w:r w:rsidRPr="009D7BD7">
              <w:rPr>
                <w:sz w:val="20"/>
                <w:szCs w:val="20"/>
              </w:rPr>
              <w:t>6</w:t>
            </w:r>
          </w:p>
        </w:tc>
        <w:tc>
          <w:tcPr>
            <w:tcW w:w="3040" w:type="dxa"/>
          </w:tcPr>
          <w:p w:rsidR="0061431C" w:rsidRPr="009D7BD7" w:rsidRDefault="0061431C" w:rsidP="00084A16">
            <w:pPr>
              <w:rPr>
                <w:sz w:val="20"/>
                <w:szCs w:val="20"/>
              </w:rPr>
            </w:pPr>
            <w:r w:rsidRPr="009D7BD7">
              <w:rPr>
                <w:sz w:val="20"/>
                <w:szCs w:val="20"/>
              </w:rPr>
              <w:t xml:space="preserve">Стоимость покупной электроэнергии </w:t>
            </w:r>
          </w:p>
        </w:tc>
        <w:tc>
          <w:tcPr>
            <w:tcW w:w="1123" w:type="dxa"/>
          </w:tcPr>
          <w:p w:rsidR="0061431C" w:rsidRPr="009D7BD7" w:rsidRDefault="0061431C" w:rsidP="00084A16">
            <w:pPr>
              <w:jc w:val="both"/>
              <w:rPr>
                <w:sz w:val="20"/>
                <w:szCs w:val="20"/>
              </w:rPr>
            </w:pPr>
            <w:r w:rsidRPr="009D7BD7">
              <w:rPr>
                <w:sz w:val="20"/>
                <w:szCs w:val="20"/>
              </w:rPr>
              <w:t>руб./МВтч</w:t>
            </w:r>
          </w:p>
        </w:tc>
        <w:tc>
          <w:tcPr>
            <w:tcW w:w="1272" w:type="dxa"/>
            <w:vAlign w:val="center"/>
          </w:tcPr>
          <w:p w:rsidR="0061431C" w:rsidRPr="00C86F3A" w:rsidRDefault="0061431C" w:rsidP="00C86F3A">
            <w:pPr>
              <w:jc w:val="center"/>
              <w:rPr>
                <w:sz w:val="22"/>
                <w:szCs w:val="22"/>
              </w:rPr>
            </w:pPr>
            <w:r w:rsidRPr="00C86F3A">
              <w:rPr>
                <w:sz w:val="22"/>
                <w:szCs w:val="22"/>
              </w:rPr>
              <w:t>1834,58</w:t>
            </w:r>
          </w:p>
        </w:tc>
        <w:tc>
          <w:tcPr>
            <w:tcW w:w="1276" w:type="dxa"/>
            <w:vAlign w:val="center"/>
          </w:tcPr>
          <w:p w:rsidR="0061431C" w:rsidRPr="00C86F3A" w:rsidRDefault="0061431C" w:rsidP="00C86F3A">
            <w:pPr>
              <w:jc w:val="center"/>
              <w:rPr>
                <w:sz w:val="22"/>
                <w:szCs w:val="22"/>
              </w:rPr>
            </w:pPr>
            <w:r w:rsidRPr="00C86F3A">
              <w:rPr>
                <w:sz w:val="22"/>
                <w:szCs w:val="22"/>
              </w:rPr>
              <w:t>2 038,31</w:t>
            </w:r>
          </w:p>
        </w:tc>
        <w:tc>
          <w:tcPr>
            <w:tcW w:w="1276" w:type="dxa"/>
            <w:vAlign w:val="center"/>
          </w:tcPr>
          <w:p w:rsidR="0061431C" w:rsidRPr="00C86F3A" w:rsidRDefault="0061431C" w:rsidP="00C86F3A">
            <w:pPr>
              <w:jc w:val="center"/>
              <w:rPr>
                <w:sz w:val="22"/>
                <w:szCs w:val="22"/>
              </w:rPr>
            </w:pPr>
            <w:r w:rsidRPr="00C86F3A">
              <w:rPr>
                <w:sz w:val="22"/>
                <w:szCs w:val="22"/>
              </w:rPr>
              <w:t>2 219,72</w:t>
            </w:r>
          </w:p>
        </w:tc>
        <w:tc>
          <w:tcPr>
            <w:tcW w:w="1417" w:type="dxa"/>
            <w:vAlign w:val="center"/>
          </w:tcPr>
          <w:p w:rsidR="0061431C" w:rsidRPr="00FE5F31" w:rsidRDefault="0061431C">
            <w:pPr>
              <w:jc w:val="center"/>
              <w:rPr>
                <w:sz w:val="22"/>
                <w:szCs w:val="22"/>
              </w:rPr>
            </w:pPr>
            <w:r w:rsidRPr="00FE5F31">
              <w:rPr>
                <w:sz w:val="22"/>
                <w:szCs w:val="22"/>
              </w:rPr>
              <w:t>2 423,93</w:t>
            </w:r>
          </w:p>
        </w:tc>
        <w:tc>
          <w:tcPr>
            <w:tcW w:w="1418" w:type="dxa"/>
            <w:vAlign w:val="center"/>
          </w:tcPr>
          <w:p w:rsidR="0061431C" w:rsidRPr="00FE5F31" w:rsidRDefault="0061431C">
            <w:pPr>
              <w:jc w:val="center"/>
              <w:rPr>
                <w:sz w:val="22"/>
                <w:szCs w:val="22"/>
              </w:rPr>
            </w:pPr>
            <w:r w:rsidRPr="00FE5F31">
              <w:rPr>
                <w:sz w:val="22"/>
                <w:szCs w:val="22"/>
              </w:rPr>
              <w:t>2 629,97</w:t>
            </w:r>
          </w:p>
        </w:tc>
        <w:tc>
          <w:tcPr>
            <w:tcW w:w="1276" w:type="dxa"/>
            <w:vAlign w:val="center"/>
          </w:tcPr>
          <w:p w:rsidR="0061431C" w:rsidRPr="00FE5F31" w:rsidRDefault="0061431C">
            <w:pPr>
              <w:jc w:val="center"/>
              <w:rPr>
                <w:sz w:val="22"/>
                <w:szCs w:val="22"/>
              </w:rPr>
            </w:pPr>
            <w:r w:rsidRPr="00FE5F31">
              <w:rPr>
                <w:sz w:val="22"/>
                <w:szCs w:val="22"/>
              </w:rPr>
              <w:t>2 853,52</w:t>
            </w:r>
          </w:p>
        </w:tc>
        <w:tc>
          <w:tcPr>
            <w:tcW w:w="1275" w:type="dxa"/>
            <w:vAlign w:val="center"/>
          </w:tcPr>
          <w:p w:rsidR="0061431C" w:rsidRPr="00FE5F31" w:rsidRDefault="0061431C">
            <w:pPr>
              <w:jc w:val="center"/>
              <w:rPr>
                <w:sz w:val="22"/>
                <w:szCs w:val="22"/>
              </w:rPr>
            </w:pPr>
            <w:r w:rsidRPr="00FE5F31">
              <w:rPr>
                <w:sz w:val="22"/>
                <w:szCs w:val="22"/>
              </w:rPr>
              <w:t>3 096,06</w:t>
            </w:r>
          </w:p>
        </w:tc>
      </w:tr>
      <w:tr w:rsidR="00275E02" w:rsidRPr="009D7BD7" w:rsidTr="00C86F3A">
        <w:tc>
          <w:tcPr>
            <w:tcW w:w="518" w:type="dxa"/>
            <w:vAlign w:val="center"/>
          </w:tcPr>
          <w:p w:rsidR="00275E02" w:rsidRPr="009D7BD7" w:rsidRDefault="00275E02" w:rsidP="00084A16">
            <w:pPr>
              <w:jc w:val="center"/>
              <w:rPr>
                <w:sz w:val="20"/>
                <w:szCs w:val="20"/>
              </w:rPr>
            </w:pPr>
            <w:r w:rsidRPr="009D7BD7">
              <w:rPr>
                <w:sz w:val="20"/>
                <w:szCs w:val="20"/>
              </w:rPr>
              <w:t>7</w:t>
            </w:r>
          </w:p>
        </w:tc>
        <w:tc>
          <w:tcPr>
            <w:tcW w:w="3040" w:type="dxa"/>
          </w:tcPr>
          <w:p w:rsidR="00275E02" w:rsidRPr="009D7BD7" w:rsidRDefault="00275E02" w:rsidP="00084A16">
            <w:pPr>
              <w:jc w:val="both"/>
              <w:rPr>
                <w:b/>
                <w:sz w:val="20"/>
                <w:szCs w:val="20"/>
              </w:rPr>
            </w:pPr>
            <w:r w:rsidRPr="009D7BD7">
              <w:rPr>
                <w:b/>
                <w:sz w:val="20"/>
                <w:szCs w:val="20"/>
              </w:rPr>
              <w:t>Объем средств на компенсацию потерь</w:t>
            </w:r>
          </w:p>
        </w:tc>
        <w:tc>
          <w:tcPr>
            <w:tcW w:w="1123" w:type="dxa"/>
          </w:tcPr>
          <w:p w:rsidR="00275E02" w:rsidRPr="009D7BD7" w:rsidRDefault="00275E02" w:rsidP="00084A16">
            <w:pPr>
              <w:jc w:val="both"/>
              <w:rPr>
                <w:sz w:val="20"/>
                <w:szCs w:val="20"/>
              </w:rPr>
            </w:pPr>
            <w:r w:rsidRPr="009D7BD7">
              <w:rPr>
                <w:sz w:val="20"/>
                <w:szCs w:val="20"/>
              </w:rPr>
              <w:t>тыс. руб.</w:t>
            </w:r>
          </w:p>
        </w:tc>
        <w:tc>
          <w:tcPr>
            <w:tcW w:w="1272" w:type="dxa"/>
            <w:vAlign w:val="center"/>
          </w:tcPr>
          <w:p w:rsidR="00275E02" w:rsidRPr="00C86F3A" w:rsidRDefault="00275E02" w:rsidP="00C86F3A">
            <w:pPr>
              <w:jc w:val="center"/>
              <w:rPr>
                <w:sz w:val="22"/>
                <w:szCs w:val="22"/>
              </w:rPr>
            </w:pPr>
            <w:r w:rsidRPr="00C86F3A">
              <w:rPr>
                <w:sz w:val="22"/>
                <w:szCs w:val="22"/>
              </w:rPr>
              <w:t>2384,22</w:t>
            </w:r>
          </w:p>
        </w:tc>
        <w:tc>
          <w:tcPr>
            <w:tcW w:w="1276" w:type="dxa"/>
            <w:vAlign w:val="center"/>
          </w:tcPr>
          <w:p w:rsidR="00275E02" w:rsidRPr="00C86F3A" w:rsidRDefault="00275E02" w:rsidP="00C86F3A">
            <w:pPr>
              <w:jc w:val="center"/>
              <w:rPr>
                <w:sz w:val="22"/>
                <w:szCs w:val="22"/>
              </w:rPr>
            </w:pPr>
            <w:r w:rsidRPr="00C86F3A">
              <w:rPr>
                <w:sz w:val="22"/>
                <w:szCs w:val="22"/>
              </w:rPr>
              <w:t>2 648,99</w:t>
            </w:r>
          </w:p>
        </w:tc>
        <w:tc>
          <w:tcPr>
            <w:tcW w:w="1276" w:type="dxa"/>
            <w:vAlign w:val="center"/>
          </w:tcPr>
          <w:p w:rsidR="00275E02" w:rsidRPr="00C86F3A" w:rsidRDefault="00275E02" w:rsidP="00C86F3A">
            <w:pPr>
              <w:jc w:val="center"/>
              <w:rPr>
                <w:sz w:val="22"/>
                <w:szCs w:val="22"/>
              </w:rPr>
            </w:pPr>
            <w:r w:rsidRPr="00C86F3A">
              <w:rPr>
                <w:sz w:val="22"/>
                <w:szCs w:val="22"/>
              </w:rPr>
              <w:t>1 255,47</w:t>
            </w:r>
          </w:p>
        </w:tc>
        <w:tc>
          <w:tcPr>
            <w:tcW w:w="1417" w:type="dxa"/>
            <w:vAlign w:val="center"/>
          </w:tcPr>
          <w:p w:rsidR="00275E02" w:rsidRPr="00FE5F31" w:rsidRDefault="00275E02">
            <w:pPr>
              <w:jc w:val="center"/>
              <w:rPr>
                <w:bCs/>
                <w:sz w:val="22"/>
                <w:szCs w:val="22"/>
              </w:rPr>
            </w:pPr>
            <w:r w:rsidRPr="00FE5F31">
              <w:rPr>
                <w:bCs/>
                <w:sz w:val="22"/>
                <w:szCs w:val="22"/>
              </w:rPr>
              <w:t>1 506,23</w:t>
            </w:r>
          </w:p>
        </w:tc>
        <w:tc>
          <w:tcPr>
            <w:tcW w:w="1418" w:type="dxa"/>
            <w:vAlign w:val="center"/>
          </w:tcPr>
          <w:p w:rsidR="00275E02" w:rsidRPr="00FE5F31" w:rsidRDefault="00275E02">
            <w:pPr>
              <w:jc w:val="center"/>
              <w:rPr>
                <w:bCs/>
                <w:sz w:val="22"/>
                <w:szCs w:val="22"/>
              </w:rPr>
            </w:pPr>
            <w:r w:rsidRPr="00FE5F31">
              <w:rPr>
                <w:bCs/>
                <w:sz w:val="22"/>
                <w:szCs w:val="22"/>
              </w:rPr>
              <w:t>1 634,26</w:t>
            </w:r>
          </w:p>
        </w:tc>
        <w:tc>
          <w:tcPr>
            <w:tcW w:w="1276" w:type="dxa"/>
            <w:vAlign w:val="center"/>
          </w:tcPr>
          <w:p w:rsidR="00275E02" w:rsidRPr="00FE5F31" w:rsidRDefault="00275E02">
            <w:pPr>
              <w:jc w:val="center"/>
              <w:rPr>
                <w:bCs/>
                <w:sz w:val="22"/>
                <w:szCs w:val="22"/>
              </w:rPr>
            </w:pPr>
            <w:r w:rsidRPr="00FE5F31">
              <w:rPr>
                <w:bCs/>
                <w:sz w:val="22"/>
                <w:szCs w:val="22"/>
              </w:rPr>
              <w:t>1 773,17</w:t>
            </w:r>
          </w:p>
        </w:tc>
        <w:tc>
          <w:tcPr>
            <w:tcW w:w="1275" w:type="dxa"/>
            <w:vAlign w:val="center"/>
          </w:tcPr>
          <w:p w:rsidR="00275E02" w:rsidRPr="00FE5F31" w:rsidRDefault="00275E02">
            <w:pPr>
              <w:jc w:val="center"/>
              <w:rPr>
                <w:bCs/>
                <w:sz w:val="22"/>
                <w:szCs w:val="22"/>
              </w:rPr>
            </w:pPr>
            <w:r w:rsidRPr="00FE5F31">
              <w:rPr>
                <w:bCs/>
                <w:sz w:val="22"/>
                <w:szCs w:val="22"/>
              </w:rPr>
              <w:t>1 923,89</w:t>
            </w:r>
          </w:p>
        </w:tc>
      </w:tr>
    </w:tbl>
    <w:p w:rsidR="00084A16" w:rsidRPr="00FD28F9" w:rsidRDefault="00084A16" w:rsidP="00084A16">
      <w:pPr>
        <w:ind w:firstLine="709"/>
        <w:jc w:val="both"/>
      </w:pPr>
      <w:r w:rsidRPr="0006607B">
        <w:t xml:space="preserve">* подлежит ежегодной корректировке в соответствии </w:t>
      </w:r>
      <w:r w:rsidRPr="00FD28F9">
        <w:t>с п. 9 Методических указаний</w:t>
      </w:r>
    </w:p>
    <w:p w:rsidR="00084A16" w:rsidRDefault="00084A16" w:rsidP="00084A16">
      <w:pPr>
        <w:ind w:firstLine="709"/>
        <w:jc w:val="both"/>
      </w:pPr>
      <w:r w:rsidRPr="00FD28F9">
        <w:t xml:space="preserve">** при расчете принят индекс эффективности подконтрольных </w:t>
      </w:r>
      <w:r w:rsidRPr="00F33B4C">
        <w:t>расходов 1%,</w:t>
      </w:r>
      <w:r w:rsidRPr="00FD28F9">
        <w:t xml:space="preserve"> коэффициент эластичности подконтрольных расходов по количеству активов 0,75.</w:t>
      </w:r>
    </w:p>
    <w:p w:rsidR="00084A16" w:rsidRDefault="00084A16" w:rsidP="00084A16">
      <w:pPr>
        <w:pStyle w:val="a3"/>
        <w:ind w:firstLine="709"/>
        <w:jc w:val="right"/>
        <w:rPr>
          <w:bCs/>
        </w:rPr>
      </w:pPr>
      <w:r w:rsidRPr="0006607B">
        <w:rPr>
          <w:bCs/>
        </w:rPr>
        <w:t xml:space="preserve">Таблица </w:t>
      </w:r>
      <w:r>
        <w:rPr>
          <w:bCs/>
        </w:rPr>
        <w:t>2</w:t>
      </w:r>
    </w:p>
    <w:p w:rsidR="00084A16" w:rsidRPr="00FA7F51" w:rsidRDefault="00084A16" w:rsidP="00084A16">
      <w:pPr>
        <w:autoSpaceDE w:val="0"/>
        <w:autoSpaceDN w:val="0"/>
        <w:adjustRightInd w:val="0"/>
        <w:ind w:firstLine="540"/>
        <w:jc w:val="center"/>
      </w:pPr>
      <w:r w:rsidRPr="00FA7F51">
        <w:t>Анализ основных технико-экономических показателей</w:t>
      </w:r>
    </w:p>
    <w:p w:rsidR="00084A16" w:rsidRPr="005E1188" w:rsidRDefault="00084A16" w:rsidP="00084A16">
      <w:pPr>
        <w:autoSpaceDE w:val="0"/>
        <w:autoSpaceDN w:val="0"/>
        <w:adjustRightInd w:val="0"/>
        <w:ind w:firstLine="540"/>
        <w:jc w:val="center"/>
      </w:pPr>
      <w:r w:rsidRPr="00FA7F51">
        <w:t>за 2012-2014 г.г. и долгосрочный период 2015-2019 г.г.</w:t>
      </w:r>
    </w:p>
    <w:tbl>
      <w:tblPr>
        <w:tblW w:w="1450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9"/>
        <w:gridCol w:w="3750"/>
        <w:gridCol w:w="1251"/>
        <w:gridCol w:w="995"/>
        <w:gridCol w:w="1041"/>
        <w:gridCol w:w="1100"/>
        <w:gridCol w:w="1115"/>
        <w:gridCol w:w="1115"/>
        <w:gridCol w:w="1251"/>
        <w:gridCol w:w="1237"/>
        <w:gridCol w:w="1237"/>
      </w:tblGrid>
      <w:tr w:rsidR="00084A16" w:rsidRPr="009D7BD7" w:rsidTr="00FA7F51">
        <w:tc>
          <w:tcPr>
            <w:tcW w:w="409" w:type="dxa"/>
            <w:vAlign w:val="center"/>
          </w:tcPr>
          <w:p w:rsidR="00084A16" w:rsidRPr="009D7BD7" w:rsidRDefault="00084A16" w:rsidP="00084A16">
            <w:pPr>
              <w:ind w:left="284" w:hanging="284"/>
              <w:jc w:val="center"/>
              <w:rPr>
                <w:sz w:val="20"/>
                <w:szCs w:val="20"/>
              </w:rPr>
            </w:pPr>
          </w:p>
        </w:tc>
        <w:tc>
          <w:tcPr>
            <w:tcW w:w="3750" w:type="dxa"/>
            <w:vAlign w:val="center"/>
          </w:tcPr>
          <w:p w:rsidR="00084A16" w:rsidRPr="009D7BD7" w:rsidRDefault="00084A16" w:rsidP="00084A16">
            <w:pPr>
              <w:ind w:left="284" w:hanging="284"/>
              <w:jc w:val="center"/>
              <w:rPr>
                <w:sz w:val="20"/>
                <w:szCs w:val="20"/>
              </w:rPr>
            </w:pPr>
            <w:r w:rsidRPr="009D7BD7">
              <w:rPr>
                <w:sz w:val="20"/>
                <w:szCs w:val="20"/>
              </w:rPr>
              <w:t>Показатель</w:t>
            </w:r>
          </w:p>
        </w:tc>
        <w:tc>
          <w:tcPr>
            <w:tcW w:w="1251" w:type="dxa"/>
            <w:vAlign w:val="center"/>
          </w:tcPr>
          <w:p w:rsidR="00084A16" w:rsidRPr="009D7BD7" w:rsidRDefault="00084A16" w:rsidP="00084A16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9D7BD7">
              <w:rPr>
                <w:sz w:val="20"/>
                <w:szCs w:val="20"/>
              </w:rPr>
              <w:t>Ед. изм.</w:t>
            </w:r>
          </w:p>
        </w:tc>
        <w:tc>
          <w:tcPr>
            <w:tcW w:w="995" w:type="dxa"/>
          </w:tcPr>
          <w:p w:rsidR="00084A16" w:rsidRPr="009D7BD7" w:rsidRDefault="00084A16" w:rsidP="00084A16">
            <w:pPr>
              <w:jc w:val="center"/>
              <w:rPr>
                <w:sz w:val="20"/>
                <w:szCs w:val="20"/>
              </w:rPr>
            </w:pPr>
            <w:r w:rsidRPr="009D7BD7">
              <w:rPr>
                <w:sz w:val="20"/>
                <w:szCs w:val="20"/>
              </w:rPr>
              <w:t>2012 г.</w:t>
            </w:r>
          </w:p>
        </w:tc>
        <w:tc>
          <w:tcPr>
            <w:tcW w:w="1041" w:type="dxa"/>
          </w:tcPr>
          <w:p w:rsidR="00084A16" w:rsidRPr="009D7BD7" w:rsidRDefault="00084A16" w:rsidP="00084A16">
            <w:pPr>
              <w:jc w:val="center"/>
              <w:rPr>
                <w:sz w:val="20"/>
                <w:szCs w:val="20"/>
              </w:rPr>
            </w:pPr>
            <w:r w:rsidRPr="009D7BD7">
              <w:rPr>
                <w:sz w:val="20"/>
                <w:szCs w:val="20"/>
              </w:rPr>
              <w:t>2013 г.</w:t>
            </w:r>
          </w:p>
        </w:tc>
        <w:tc>
          <w:tcPr>
            <w:tcW w:w="1100" w:type="dxa"/>
            <w:vAlign w:val="center"/>
          </w:tcPr>
          <w:p w:rsidR="00084A16" w:rsidRPr="009D7BD7" w:rsidRDefault="00084A16" w:rsidP="00084A16">
            <w:pPr>
              <w:jc w:val="center"/>
              <w:rPr>
                <w:sz w:val="20"/>
                <w:szCs w:val="20"/>
              </w:rPr>
            </w:pPr>
            <w:r w:rsidRPr="009D7BD7">
              <w:rPr>
                <w:sz w:val="20"/>
                <w:szCs w:val="20"/>
              </w:rPr>
              <w:t>2014 г.</w:t>
            </w:r>
          </w:p>
        </w:tc>
        <w:tc>
          <w:tcPr>
            <w:tcW w:w="1115" w:type="dxa"/>
            <w:vAlign w:val="center"/>
          </w:tcPr>
          <w:p w:rsidR="00084A16" w:rsidRPr="009D7BD7" w:rsidRDefault="00084A16" w:rsidP="00084A16">
            <w:pPr>
              <w:jc w:val="center"/>
              <w:rPr>
                <w:sz w:val="20"/>
                <w:szCs w:val="20"/>
              </w:rPr>
            </w:pPr>
            <w:r w:rsidRPr="009D7BD7">
              <w:rPr>
                <w:sz w:val="20"/>
                <w:szCs w:val="20"/>
              </w:rPr>
              <w:t>2015 г.</w:t>
            </w:r>
          </w:p>
        </w:tc>
        <w:tc>
          <w:tcPr>
            <w:tcW w:w="1115" w:type="dxa"/>
            <w:vAlign w:val="center"/>
          </w:tcPr>
          <w:p w:rsidR="00084A16" w:rsidRPr="009D7BD7" w:rsidRDefault="00084A16" w:rsidP="00084A16">
            <w:pPr>
              <w:jc w:val="center"/>
              <w:rPr>
                <w:sz w:val="20"/>
                <w:szCs w:val="20"/>
              </w:rPr>
            </w:pPr>
            <w:r w:rsidRPr="009D7BD7">
              <w:rPr>
                <w:sz w:val="20"/>
                <w:szCs w:val="20"/>
              </w:rPr>
              <w:t>2016 г.</w:t>
            </w:r>
          </w:p>
        </w:tc>
        <w:tc>
          <w:tcPr>
            <w:tcW w:w="1251" w:type="dxa"/>
            <w:vAlign w:val="center"/>
          </w:tcPr>
          <w:p w:rsidR="00084A16" w:rsidRPr="009D7BD7" w:rsidRDefault="00084A16" w:rsidP="00084A16">
            <w:pPr>
              <w:jc w:val="center"/>
              <w:rPr>
                <w:sz w:val="20"/>
                <w:szCs w:val="20"/>
              </w:rPr>
            </w:pPr>
            <w:r w:rsidRPr="009D7BD7">
              <w:rPr>
                <w:sz w:val="20"/>
                <w:szCs w:val="20"/>
              </w:rPr>
              <w:t>2017 г.</w:t>
            </w:r>
          </w:p>
        </w:tc>
        <w:tc>
          <w:tcPr>
            <w:tcW w:w="1237" w:type="dxa"/>
          </w:tcPr>
          <w:p w:rsidR="00084A16" w:rsidRPr="009D7BD7" w:rsidRDefault="00084A16" w:rsidP="00084A16">
            <w:pPr>
              <w:jc w:val="center"/>
              <w:rPr>
                <w:sz w:val="20"/>
                <w:szCs w:val="20"/>
              </w:rPr>
            </w:pPr>
            <w:r w:rsidRPr="009D7BD7">
              <w:rPr>
                <w:sz w:val="20"/>
                <w:szCs w:val="20"/>
              </w:rPr>
              <w:t>2018 г.</w:t>
            </w:r>
          </w:p>
        </w:tc>
        <w:tc>
          <w:tcPr>
            <w:tcW w:w="1237" w:type="dxa"/>
          </w:tcPr>
          <w:p w:rsidR="00084A16" w:rsidRPr="009D7BD7" w:rsidRDefault="00084A16" w:rsidP="00084A16">
            <w:pPr>
              <w:jc w:val="center"/>
              <w:rPr>
                <w:sz w:val="20"/>
                <w:szCs w:val="20"/>
              </w:rPr>
            </w:pPr>
            <w:r w:rsidRPr="009D7BD7">
              <w:rPr>
                <w:sz w:val="20"/>
                <w:szCs w:val="20"/>
              </w:rPr>
              <w:t>2019 г.</w:t>
            </w:r>
          </w:p>
        </w:tc>
      </w:tr>
      <w:tr w:rsidR="00275E02" w:rsidRPr="009D7BD7" w:rsidTr="00FA7F51">
        <w:tc>
          <w:tcPr>
            <w:tcW w:w="409" w:type="dxa"/>
            <w:vAlign w:val="center"/>
          </w:tcPr>
          <w:p w:rsidR="00275E02" w:rsidRPr="009D7BD7" w:rsidRDefault="00275E02" w:rsidP="00084A16">
            <w:pPr>
              <w:jc w:val="center"/>
              <w:rPr>
                <w:sz w:val="20"/>
                <w:szCs w:val="20"/>
              </w:rPr>
            </w:pPr>
            <w:r w:rsidRPr="009D7BD7">
              <w:rPr>
                <w:sz w:val="20"/>
                <w:szCs w:val="20"/>
              </w:rPr>
              <w:t>1</w:t>
            </w:r>
          </w:p>
        </w:tc>
        <w:tc>
          <w:tcPr>
            <w:tcW w:w="3750" w:type="dxa"/>
            <w:vAlign w:val="center"/>
          </w:tcPr>
          <w:p w:rsidR="00275E02" w:rsidRPr="009D7BD7" w:rsidRDefault="00275E02" w:rsidP="00084A16">
            <w:pPr>
              <w:rPr>
                <w:sz w:val="20"/>
                <w:szCs w:val="20"/>
              </w:rPr>
            </w:pPr>
            <w:r w:rsidRPr="009D7BD7">
              <w:rPr>
                <w:sz w:val="20"/>
                <w:szCs w:val="20"/>
              </w:rPr>
              <w:t>Необходимая валовая выручка с учетом средств на компенсацию потерь</w:t>
            </w:r>
          </w:p>
        </w:tc>
        <w:tc>
          <w:tcPr>
            <w:tcW w:w="1251" w:type="dxa"/>
            <w:vAlign w:val="center"/>
          </w:tcPr>
          <w:p w:rsidR="00275E02" w:rsidRPr="009D7BD7" w:rsidRDefault="00275E02" w:rsidP="00084A16">
            <w:pPr>
              <w:jc w:val="center"/>
              <w:rPr>
                <w:sz w:val="20"/>
                <w:szCs w:val="20"/>
              </w:rPr>
            </w:pPr>
            <w:r w:rsidRPr="009D7BD7">
              <w:rPr>
                <w:sz w:val="20"/>
                <w:szCs w:val="20"/>
              </w:rPr>
              <w:t>тыс. руб.</w:t>
            </w:r>
          </w:p>
        </w:tc>
        <w:tc>
          <w:tcPr>
            <w:tcW w:w="995" w:type="dxa"/>
            <w:vAlign w:val="center"/>
          </w:tcPr>
          <w:p w:rsidR="00275E02" w:rsidRPr="00C86F3A" w:rsidRDefault="00275E02" w:rsidP="00C86F3A">
            <w:pPr>
              <w:jc w:val="center"/>
              <w:rPr>
                <w:sz w:val="22"/>
                <w:szCs w:val="22"/>
              </w:rPr>
            </w:pPr>
            <w:r w:rsidRPr="00C86F3A">
              <w:rPr>
                <w:sz w:val="22"/>
                <w:szCs w:val="22"/>
              </w:rPr>
              <w:t>7966,59</w:t>
            </w:r>
          </w:p>
        </w:tc>
        <w:tc>
          <w:tcPr>
            <w:tcW w:w="1041" w:type="dxa"/>
            <w:vAlign w:val="center"/>
          </w:tcPr>
          <w:p w:rsidR="00275E02" w:rsidRPr="00C86F3A" w:rsidRDefault="00275E02" w:rsidP="00C86F3A">
            <w:pPr>
              <w:jc w:val="center"/>
              <w:rPr>
                <w:sz w:val="22"/>
                <w:szCs w:val="22"/>
              </w:rPr>
            </w:pPr>
            <w:r w:rsidRPr="00C86F3A">
              <w:rPr>
                <w:sz w:val="22"/>
                <w:szCs w:val="22"/>
              </w:rPr>
              <w:t>10713,13</w:t>
            </w:r>
          </w:p>
        </w:tc>
        <w:tc>
          <w:tcPr>
            <w:tcW w:w="1100" w:type="dxa"/>
            <w:vAlign w:val="center"/>
          </w:tcPr>
          <w:p w:rsidR="00275E02" w:rsidRPr="00C86F3A" w:rsidRDefault="00275E02" w:rsidP="00C86F3A">
            <w:pPr>
              <w:jc w:val="center"/>
              <w:rPr>
                <w:sz w:val="22"/>
                <w:szCs w:val="22"/>
              </w:rPr>
            </w:pPr>
            <w:r w:rsidRPr="00C86F3A">
              <w:rPr>
                <w:sz w:val="22"/>
                <w:szCs w:val="22"/>
              </w:rPr>
              <w:t>11 320,79</w:t>
            </w:r>
          </w:p>
        </w:tc>
        <w:tc>
          <w:tcPr>
            <w:tcW w:w="1115" w:type="dxa"/>
            <w:vAlign w:val="center"/>
          </w:tcPr>
          <w:p w:rsidR="00275E02" w:rsidRPr="00C86F3A" w:rsidRDefault="00275E02" w:rsidP="00C86F3A">
            <w:pPr>
              <w:jc w:val="center"/>
              <w:rPr>
                <w:sz w:val="22"/>
                <w:szCs w:val="22"/>
              </w:rPr>
            </w:pPr>
            <w:r w:rsidRPr="00C86F3A">
              <w:rPr>
                <w:sz w:val="22"/>
                <w:szCs w:val="22"/>
              </w:rPr>
              <w:t>9 927,27</w:t>
            </w:r>
          </w:p>
        </w:tc>
        <w:tc>
          <w:tcPr>
            <w:tcW w:w="1115" w:type="dxa"/>
            <w:vAlign w:val="center"/>
          </w:tcPr>
          <w:p w:rsidR="00275E02" w:rsidRPr="00275E02" w:rsidRDefault="00275E02">
            <w:pPr>
              <w:jc w:val="center"/>
              <w:rPr>
                <w:sz w:val="22"/>
              </w:rPr>
            </w:pPr>
            <w:r w:rsidRPr="00275E02">
              <w:rPr>
                <w:sz w:val="22"/>
              </w:rPr>
              <w:t>11 613,61</w:t>
            </w:r>
          </w:p>
        </w:tc>
        <w:tc>
          <w:tcPr>
            <w:tcW w:w="1251" w:type="dxa"/>
            <w:vAlign w:val="center"/>
          </w:tcPr>
          <w:p w:rsidR="00275E02" w:rsidRPr="00275E02" w:rsidRDefault="00275E02">
            <w:pPr>
              <w:jc w:val="center"/>
              <w:rPr>
                <w:sz w:val="22"/>
              </w:rPr>
            </w:pPr>
            <w:r w:rsidRPr="00275E02">
              <w:rPr>
                <w:sz w:val="22"/>
              </w:rPr>
              <w:t>11 739,65</w:t>
            </w:r>
          </w:p>
        </w:tc>
        <w:tc>
          <w:tcPr>
            <w:tcW w:w="1237" w:type="dxa"/>
            <w:vAlign w:val="center"/>
          </w:tcPr>
          <w:p w:rsidR="00275E02" w:rsidRPr="00275E02" w:rsidRDefault="00275E02">
            <w:pPr>
              <w:jc w:val="center"/>
              <w:rPr>
                <w:sz w:val="22"/>
              </w:rPr>
            </w:pPr>
            <w:r w:rsidRPr="00275E02">
              <w:rPr>
                <w:sz w:val="22"/>
              </w:rPr>
              <w:t>12 273,32</w:t>
            </w:r>
          </w:p>
        </w:tc>
        <w:tc>
          <w:tcPr>
            <w:tcW w:w="1237" w:type="dxa"/>
            <w:vAlign w:val="center"/>
          </w:tcPr>
          <w:p w:rsidR="00275E02" w:rsidRPr="00275E02" w:rsidRDefault="00275E02">
            <w:pPr>
              <w:jc w:val="center"/>
              <w:rPr>
                <w:sz w:val="22"/>
              </w:rPr>
            </w:pPr>
            <w:r w:rsidRPr="00275E02">
              <w:rPr>
                <w:sz w:val="22"/>
              </w:rPr>
              <w:t>12 836,45</w:t>
            </w:r>
          </w:p>
        </w:tc>
      </w:tr>
      <w:tr w:rsidR="00FA7F51" w:rsidRPr="009D7BD7" w:rsidTr="00FA7F51">
        <w:tc>
          <w:tcPr>
            <w:tcW w:w="409" w:type="dxa"/>
            <w:vAlign w:val="center"/>
          </w:tcPr>
          <w:p w:rsidR="00FA7F51" w:rsidRPr="009D7BD7" w:rsidRDefault="00FA7F51" w:rsidP="00084A16">
            <w:pPr>
              <w:jc w:val="center"/>
              <w:rPr>
                <w:sz w:val="20"/>
                <w:szCs w:val="20"/>
              </w:rPr>
            </w:pPr>
            <w:r w:rsidRPr="009D7BD7">
              <w:rPr>
                <w:sz w:val="20"/>
                <w:szCs w:val="20"/>
              </w:rPr>
              <w:t>2</w:t>
            </w:r>
          </w:p>
        </w:tc>
        <w:tc>
          <w:tcPr>
            <w:tcW w:w="3750" w:type="dxa"/>
            <w:vAlign w:val="center"/>
          </w:tcPr>
          <w:p w:rsidR="00FA7F51" w:rsidRPr="009D7BD7" w:rsidRDefault="00FA7F51" w:rsidP="00084A16">
            <w:pPr>
              <w:rPr>
                <w:sz w:val="20"/>
                <w:szCs w:val="20"/>
              </w:rPr>
            </w:pPr>
            <w:r w:rsidRPr="009D7BD7">
              <w:rPr>
                <w:sz w:val="20"/>
                <w:szCs w:val="20"/>
              </w:rPr>
              <w:t xml:space="preserve">Поступление в сеть ТСО </w:t>
            </w:r>
          </w:p>
        </w:tc>
        <w:tc>
          <w:tcPr>
            <w:tcW w:w="1251" w:type="dxa"/>
            <w:vAlign w:val="center"/>
          </w:tcPr>
          <w:p w:rsidR="00FA7F51" w:rsidRPr="009D7BD7" w:rsidRDefault="00FA7F51" w:rsidP="00084A16">
            <w:pPr>
              <w:jc w:val="center"/>
              <w:rPr>
                <w:sz w:val="20"/>
                <w:szCs w:val="20"/>
              </w:rPr>
            </w:pPr>
            <w:r w:rsidRPr="009D7BD7">
              <w:rPr>
                <w:sz w:val="20"/>
                <w:szCs w:val="20"/>
              </w:rPr>
              <w:t>млн. кВт</w:t>
            </w:r>
            <w:proofErr w:type="gramStart"/>
            <w:r w:rsidRPr="009D7BD7">
              <w:rPr>
                <w:sz w:val="20"/>
                <w:szCs w:val="20"/>
              </w:rPr>
              <w:t>.ч</w:t>
            </w:r>
            <w:proofErr w:type="gramEnd"/>
          </w:p>
        </w:tc>
        <w:tc>
          <w:tcPr>
            <w:tcW w:w="995" w:type="dxa"/>
            <w:vAlign w:val="center"/>
          </w:tcPr>
          <w:p w:rsidR="00FA7F51" w:rsidRPr="001A5340" w:rsidRDefault="00FA7F51" w:rsidP="00084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22,2080</w:t>
            </w:r>
          </w:p>
        </w:tc>
        <w:tc>
          <w:tcPr>
            <w:tcW w:w="1041" w:type="dxa"/>
            <w:vAlign w:val="center"/>
          </w:tcPr>
          <w:p w:rsidR="00FA7F51" w:rsidRPr="001A5340" w:rsidRDefault="00FA7F51" w:rsidP="00084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22,2076</w:t>
            </w:r>
          </w:p>
        </w:tc>
        <w:tc>
          <w:tcPr>
            <w:tcW w:w="1100" w:type="dxa"/>
            <w:vAlign w:val="center"/>
          </w:tcPr>
          <w:p w:rsidR="00FA7F51" w:rsidRPr="001A5340" w:rsidRDefault="00FA7F51" w:rsidP="00FE1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22,2076</w:t>
            </w:r>
          </w:p>
        </w:tc>
        <w:tc>
          <w:tcPr>
            <w:tcW w:w="1115" w:type="dxa"/>
            <w:vAlign w:val="center"/>
          </w:tcPr>
          <w:p w:rsidR="00FA7F51" w:rsidRPr="001A5340" w:rsidRDefault="00FA7F51" w:rsidP="00084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24,2736</w:t>
            </w:r>
          </w:p>
        </w:tc>
        <w:tc>
          <w:tcPr>
            <w:tcW w:w="1115" w:type="dxa"/>
            <w:vAlign w:val="center"/>
          </w:tcPr>
          <w:p w:rsidR="00FA7F51" w:rsidRPr="001A5340" w:rsidRDefault="000E7A18" w:rsidP="00FE1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26,6714</w:t>
            </w:r>
          </w:p>
        </w:tc>
        <w:tc>
          <w:tcPr>
            <w:tcW w:w="1251" w:type="dxa"/>
            <w:vAlign w:val="center"/>
          </w:tcPr>
          <w:p w:rsidR="00FA7F51" w:rsidRPr="001A5340" w:rsidRDefault="000E7A18" w:rsidP="00FE1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26,6714</w:t>
            </w:r>
          </w:p>
        </w:tc>
        <w:tc>
          <w:tcPr>
            <w:tcW w:w="1237" w:type="dxa"/>
            <w:vAlign w:val="center"/>
          </w:tcPr>
          <w:p w:rsidR="00FA7F51" w:rsidRPr="001A5340" w:rsidRDefault="000E7A18" w:rsidP="00FE1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26,6714</w:t>
            </w:r>
          </w:p>
        </w:tc>
        <w:tc>
          <w:tcPr>
            <w:tcW w:w="1237" w:type="dxa"/>
            <w:vAlign w:val="center"/>
          </w:tcPr>
          <w:p w:rsidR="00FA7F51" w:rsidRPr="001A5340" w:rsidRDefault="000E7A18" w:rsidP="00FE1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26,6714</w:t>
            </w:r>
          </w:p>
        </w:tc>
      </w:tr>
      <w:tr w:rsidR="00FA7F51" w:rsidRPr="009D7BD7" w:rsidTr="00FA7F51">
        <w:tc>
          <w:tcPr>
            <w:tcW w:w="409" w:type="dxa"/>
            <w:vAlign w:val="center"/>
          </w:tcPr>
          <w:p w:rsidR="00FA7F51" w:rsidRPr="009D7BD7" w:rsidRDefault="00FA7F51" w:rsidP="00084A16">
            <w:pPr>
              <w:jc w:val="center"/>
              <w:rPr>
                <w:sz w:val="20"/>
                <w:szCs w:val="20"/>
              </w:rPr>
            </w:pPr>
            <w:r w:rsidRPr="009D7BD7">
              <w:rPr>
                <w:sz w:val="20"/>
                <w:szCs w:val="20"/>
              </w:rPr>
              <w:t>3</w:t>
            </w:r>
          </w:p>
        </w:tc>
        <w:tc>
          <w:tcPr>
            <w:tcW w:w="3750" w:type="dxa"/>
            <w:vAlign w:val="center"/>
          </w:tcPr>
          <w:p w:rsidR="00FA7F51" w:rsidRPr="009D7BD7" w:rsidRDefault="00FA7F51" w:rsidP="00084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  <w:r w:rsidRPr="00E85560">
              <w:rPr>
                <w:sz w:val="20"/>
                <w:szCs w:val="20"/>
              </w:rPr>
              <w:t xml:space="preserve"> нормативных</w:t>
            </w:r>
            <w:r>
              <w:rPr>
                <w:sz w:val="20"/>
                <w:szCs w:val="20"/>
              </w:rPr>
              <w:t xml:space="preserve"> потерь</w:t>
            </w:r>
            <w:r w:rsidRPr="00620B5B">
              <w:rPr>
                <w:sz w:val="20"/>
                <w:szCs w:val="20"/>
              </w:rPr>
              <w:t xml:space="preserve"> электрической энергии в части абонентов</w:t>
            </w:r>
          </w:p>
        </w:tc>
        <w:tc>
          <w:tcPr>
            <w:tcW w:w="1251" w:type="dxa"/>
            <w:vAlign w:val="center"/>
          </w:tcPr>
          <w:p w:rsidR="00FA7F51" w:rsidRPr="009D7BD7" w:rsidRDefault="00FA7F51" w:rsidP="00084A16">
            <w:pPr>
              <w:jc w:val="center"/>
              <w:rPr>
                <w:sz w:val="20"/>
                <w:szCs w:val="20"/>
              </w:rPr>
            </w:pPr>
            <w:r w:rsidRPr="009D7BD7">
              <w:rPr>
                <w:sz w:val="20"/>
                <w:szCs w:val="20"/>
              </w:rPr>
              <w:t>%</w:t>
            </w:r>
          </w:p>
        </w:tc>
        <w:tc>
          <w:tcPr>
            <w:tcW w:w="995" w:type="dxa"/>
            <w:vAlign w:val="center"/>
          </w:tcPr>
          <w:p w:rsidR="00FA7F51" w:rsidRPr="001A5340" w:rsidRDefault="00FA7F51" w:rsidP="00084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1" w:type="dxa"/>
            <w:vAlign w:val="center"/>
          </w:tcPr>
          <w:p w:rsidR="00FA7F51" w:rsidRPr="001A5340" w:rsidRDefault="00FA7F51" w:rsidP="00084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5,8521</w:t>
            </w:r>
          </w:p>
        </w:tc>
        <w:tc>
          <w:tcPr>
            <w:tcW w:w="1100" w:type="dxa"/>
            <w:vAlign w:val="center"/>
          </w:tcPr>
          <w:p w:rsidR="00FA7F51" w:rsidRPr="001A5340" w:rsidRDefault="00FA7F51" w:rsidP="00FE1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5,8521</w:t>
            </w:r>
          </w:p>
        </w:tc>
        <w:tc>
          <w:tcPr>
            <w:tcW w:w="1115" w:type="dxa"/>
            <w:vAlign w:val="center"/>
          </w:tcPr>
          <w:p w:rsidR="00FA7F51" w:rsidRPr="001A5340" w:rsidRDefault="00FA7F51" w:rsidP="00084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2,3300</w:t>
            </w:r>
          </w:p>
        </w:tc>
        <w:tc>
          <w:tcPr>
            <w:tcW w:w="1115" w:type="dxa"/>
            <w:vAlign w:val="center"/>
          </w:tcPr>
          <w:p w:rsidR="00FA7F51" w:rsidRPr="001A5340" w:rsidRDefault="00250840" w:rsidP="00FE1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2,3300</w:t>
            </w:r>
          </w:p>
        </w:tc>
        <w:tc>
          <w:tcPr>
            <w:tcW w:w="1251" w:type="dxa"/>
            <w:vAlign w:val="center"/>
          </w:tcPr>
          <w:p w:rsidR="00FA7F51" w:rsidRPr="001A5340" w:rsidRDefault="00250840" w:rsidP="00FE1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2,3300</w:t>
            </w:r>
          </w:p>
        </w:tc>
        <w:tc>
          <w:tcPr>
            <w:tcW w:w="1237" w:type="dxa"/>
            <w:vAlign w:val="center"/>
          </w:tcPr>
          <w:p w:rsidR="00FA7F51" w:rsidRPr="001A5340" w:rsidRDefault="00250840" w:rsidP="00FE1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2,3300</w:t>
            </w:r>
          </w:p>
        </w:tc>
        <w:tc>
          <w:tcPr>
            <w:tcW w:w="1237" w:type="dxa"/>
            <w:vAlign w:val="center"/>
          </w:tcPr>
          <w:p w:rsidR="00FA7F51" w:rsidRPr="001A5340" w:rsidRDefault="00250840" w:rsidP="00FE1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2,3300</w:t>
            </w:r>
          </w:p>
        </w:tc>
      </w:tr>
      <w:tr w:rsidR="00FA7F51" w:rsidRPr="009D7BD7" w:rsidTr="00FA7F51">
        <w:tc>
          <w:tcPr>
            <w:tcW w:w="409" w:type="dxa"/>
            <w:vAlign w:val="center"/>
          </w:tcPr>
          <w:p w:rsidR="00FA7F51" w:rsidRPr="009D7BD7" w:rsidRDefault="00FA7F51" w:rsidP="00084A16">
            <w:pPr>
              <w:jc w:val="center"/>
              <w:rPr>
                <w:sz w:val="20"/>
                <w:szCs w:val="20"/>
              </w:rPr>
            </w:pPr>
            <w:r w:rsidRPr="009D7BD7">
              <w:rPr>
                <w:sz w:val="20"/>
                <w:szCs w:val="20"/>
              </w:rPr>
              <w:t>4</w:t>
            </w:r>
          </w:p>
        </w:tc>
        <w:tc>
          <w:tcPr>
            <w:tcW w:w="3750" w:type="dxa"/>
            <w:vAlign w:val="center"/>
          </w:tcPr>
          <w:p w:rsidR="00FA7F51" w:rsidRPr="009D7BD7" w:rsidRDefault="00FA7F51" w:rsidP="00084A16">
            <w:pPr>
              <w:rPr>
                <w:sz w:val="20"/>
                <w:szCs w:val="20"/>
              </w:rPr>
            </w:pPr>
            <w:r w:rsidRPr="009D7BD7">
              <w:rPr>
                <w:sz w:val="20"/>
                <w:szCs w:val="20"/>
              </w:rPr>
              <w:t>Отпуск электроэнергии из сети в части абонентов</w:t>
            </w:r>
          </w:p>
        </w:tc>
        <w:tc>
          <w:tcPr>
            <w:tcW w:w="1251" w:type="dxa"/>
            <w:vAlign w:val="center"/>
          </w:tcPr>
          <w:p w:rsidR="00FA7F51" w:rsidRPr="009D7BD7" w:rsidRDefault="00FA7F51" w:rsidP="00084A16">
            <w:pPr>
              <w:jc w:val="center"/>
              <w:rPr>
                <w:sz w:val="20"/>
                <w:szCs w:val="20"/>
              </w:rPr>
            </w:pPr>
            <w:r w:rsidRPr="009D7BD7">
              <w:rPr>
                <w:sz w:val="20"/>
                <w:szCs w:val="20"/>
              </w:rPr>
              <w:t>млн. кВт</w:t>
            </w:r>
            <w:proofErr w:type="gramStart"/>
            <w:r w:rsidRPr="009D7BD7">
              <w:rPr>
                <w:sz w:val="20"/>
                <w:szCs w:val="20"/>
              </w:rPr>
              <w:t>.ч</w:t>
            </w:r>
            <w:proofErr w:type="gramEnd"/>
          </w:p>
        </w:tc>
        <w:tc>
          <w:tcPr>
            <w:tcW w:w="995" w:type="dxa"/>
            <w:vAlign w:val="center"/>
          </w:tcPr>
          <w:p w:rsidR="00FA7F51" w:rsidRPr="001A5340" w:rsidRDefault="00FA7F51" w:rsidP="00084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20,9080</w:t>
            </w:r>
          </w:p>
        </w:tc>
        <w:tc>
          <w:tcPr>
            <w:tcW w:w="1041" w:type="dxa"/>
            <w:vAlign w:val="center"/>
          </w:tcPr>
          <w:p w:rsidR="00FA7F51" w:rsidRPr="001A5340" w:rsidRDefault="00FA7F51" w:rsidP="00084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20,9080</w:t>
            </w:r>
          </w:p>
        </w:tc>
        <w:tc>
          <w:tcPr>
            <w:tcW w:w="1100" w:type="dxa"/>
            <w:vAlign w:val="center"/>
          </w:tcPr>
          <w:p w:rsidR="00FA7F51" w:rsidRPr="001A5340" w:rsidRDefault="00FA7F51" w:rsidP="00FE1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20,9080</w:t>
            </w:r>
          </w:p>
        </w:tc>
        <w:tc>
          <w:tcPr>
            <w:tcW w:w="1115" w:type="dxa"/>
            <w:vAlign w:val="center"/>
          </w:tcPr>
          <w:p w:rsidR="00FA7F51" w:rsidRPr="001A5340" w:rsidRDefault="00FA7F51" w:rsidP="00084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23,7080</w:t>
            </w:r>
          </w:p>
        </w:tc>
        <w:tc>
          <w:tcPr>
            <w:tcW w:w="1115" w:type="dxa"/>
            <w:vAlign w:val="center"/>
          </w:tcPr>
          <w:p w:rsidR="00FA7F51" w:rsidRPr="001A5340" w:rsidRDefault="000E7A18" w:rsidP="00FE1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26,0500</w:t>
            </w:r>
          </w:p>
        </w:tc>
        <w:tc>
          <w:tcPr>
            <w:tcW w:w="1251" w:type="dxa"/>
            <w:vAlign w:val="center"/>
          </w:tcPr>
          <w:p w:rsidR="00FA7F51" w:rsidRPr="001A5340" w:rsidRDefault="000E7A18" w:rsidP="00FE1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26,0500</w:t>
            </w:r>
          </w:p>
        </w:tc>
        <w:tc>
          <w:tcPr>
            <w:tcW w:w="1237" w:type="dxa"/>
            <w:vAlign w:val="center"/>
          </w:tcPr>
          <w:p w:rsidR="00FA7F51" w:rsidRPr="001A5340" w:rsidRDefault="000E7A18" w:rsidP="00FE1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26,0500</w:t>
            </w:r>
          </w:p>
        </w:tc>
        <w:tc>
          <w:tcPr>
            <w:tcW w:w="1237" w:type="dxa"/>
            <w:vAlign w:val="center"/>
          </w:tcPr>
          <w:p w:rsidR="00FA7F51" w:rsidRPr="001A5340" w:rsidRDefault="000E7A18" w:rsidP="00FE1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26,0500</w:t>
            </w:r>
          </w:p>
        </w:tc>
      </w:tr>
    </w:tbl>
    <w:p w:rsidR="00084A16" w:rsidRDefault="00084A16" w:rsidP="005E1188">
      <w:pPr>
        <w:pStyle w:val="a3"/>
        <w:ind w:firstLine="709"/>
        <w:jc w:val="right"/>
        <w:rPr>
          <w:bCs/>
          <w:lang w:val="ru-RU"/>
        </w:rPr>
      </w:pPr>
    </w:p>
    <w:p w:rsidR="00084A16" w:rsidRDefault="00084A16" w:rsidP="005E1188">
      <w:pPr>
        <w:pStyle w:val="a3"/>
        <w:ind w:firstLine="709"/>
        <w:jc w:val="right"/>
        <w:rPr>
          <w:bCs/>
          <w:lang w:val="ru-RU"/>
        </w:rPr>
      </w:pPr>
    </w:p>
    <w:p w:rsidR="00665B2B" w:rsidRDefault="00665B2B" w:rsidP="005E1188">
      <w:pPr>
        <w:pStyle w:val="a3"/>
        <w:ind w:firstLine="709"/>
        <w:jc w:val="right"/>
        <w:rPr>
          <w:bCs/>
          <w:lang w:val="ru-RU"/>
        </w:rPr>
      </w:pPr>
    </w:p>
    <w:p w:rsidR="00665B2B" w:rsidRDefault="00665B2B" w:rsidP="005E1188">
      <w:pPr>
        <w:pStyle w:val="a3"/>
        <w:ind w:firstLine="709"/>
        <w:jc w:val="right"/>
        <w:rPr>
          <w:bCs/>
          <w:lang w:val="ru-RU"/>
        </w:rPr>
      </w:pPr>
    </w:p>
    <w:p w:rsidR="00FE5F31" w:rsidRDefault="00FE5F31" w:rsidP="005E1188">
      <w:pPr>
        <w:pStyle w:val="a3"/>
        <w:ind w:firstLine="709"/>
        <w:jc w:val="right"/>
        <w:rPr>
          <w:bCs/>
          <w:lang w:val="ru-RU"/>
        </w:rPr>
      </w:pPr>
    </w:p>
    <w:p w:rsidR="00A72845" w:rsidRDefault="00A72845" w:rsidP="005E1188">
      <w:pPr>
        <w:pStyle w:val="a3"/>
        <w:ind w:firstLine="709"/>
        <w:jc w:val="right"/>
        <w:rPr>
          <w:bCs/>
          <w:lang w:val="ru-RU"/>
        </w:rPr>
      </w:pPr>
    </w:p>
    <w:p w:rsidR="00A72845" w:rsidRDefault="00A72845" w:rsidP="005E1188">
      <w:pPr>
        <w:pStyle w:val="a3"/>
        <w:ind w:firstLine="709"/>
        <w:jc w:val="right"/>
        <w:rPr>
          <w:bCs/>
          <w:lang w:val="ru-RU"/>
        </w:rPr>
      </w:pPr>
    </w:p>
    <w:p w:rsidR="00084A16" w:rsidRDefault="00084A16" w:rsidP="005E1188">
      <w:pPr>
        <w:pStyle w:val="a3"/>
        <w:ind w:firstLine="709"/>
        <w:jc w:val="right"/>
        <w:rPr>
          <w:bCs/>
          <w:lang w:val="ru-RU"/>
        </w:rPr>
      </w:pPr>
      <w:r>
        <w:rPr>
          <w:bCs/>
          <w:lang w:val="ru-RU"/>
        </w:rPr>
        <w:lastRenderedPageBreak/>
        <w:t>Приложение 2</w:t>
      </w:r>
    </w:p>
    <w:tbl>
      <w:tblPr>
        <w:tblW w:w="27958" w:type="dxa"/>
        <w:tblInd w:w="108" w:type="dxa"/>
        <w:tblLook w:val="04A0"/>
      </w:tblPr>
      <w:tblGrid>
        <w:gridCol w:w="5670"/>
        <w:gridCol w:w="1843"/>
        <w:gridCol w:w="2126"/>
        <w:gridCol w:w="1570"/>
        <w:gridCol w:w="1570"/>
        <w:gridCol w:w="1570"/>
        <w:gridCol w:w="398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876"/>
        <w:gridCol w:w="1876"/>
        <w:gridCol w:w="187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65B2B" w:rsidRPr="00665B2B" w:rsidTr="00665B2B">
        <w:trPr>
          <w:gridAfter w:val="9"/>
          <w:wAfter w:w="1998" w:type="dxa"/>
          <w:trHeight w:val="312"/>
        </w:trPr>
        <w:tc>
          <w:tcPr>
            <w:tcW w:w="203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B2B" w:rsidRPr="00665B2B" w:rsidRDefault="00665B2B" w:rsidP="00665B2B">
            <w:pPr>
              <w:rPr>
                <w:color w:val="FF0000"/>
              </w:rPr>
            </w:pPr>
            <w:r w:rsidRPr="00665B2B">
              <w:rPr>
                <w:color w:val="FF0000"/>
              </w:rPr>
              <w:t>ООО "Прогресс плюс"</w:t>
            </w:r>
            <w:r w:rsidRPr="00665B2B">
              <w:t xml:space="preserve"> передача электрической энергии на 2015-2019 года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2B" w:rsidRPr="00665B2B" w:rsidRDefault="00665B2B" w:rsidP="00665B2B"/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2B" w:rsidRPr="00665B2B" w:rsidRDefault="00665B2B" w:rsidP="00665B2B"/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2B" w:rsidRPr="00665B2B" w:rsidRDefault="00665B2B" w:rsidP="00665B2B"/>
        </w:tc>
      </w:tr>
      <w:tr w:rsidR="00665B2B" w:rsidRPr="00665B2B" w:rsidTr="00665B2B">
        <w:trPr>
          <w:trHeight w:val="312"/>
        </w:trPr>
        <w:tc>
          <w:tcPr>
            <w:tcW w:w="2795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B2B" w:rsidRPr="00665B2B" w:rsidRDefault="00665B2B" w:rsidP="00665B2B">
            <w:r w:rsidRPr="00665B2B">
              <w:t xml:space="preserve">Сравнительный анализ экономической обоснованности по статьям расходов и величины прибыли, учтенных при формировании тарифов </w:t>
            </w:r>
          </w:p>
        </w:tc>
      </w:tr>
      <w:tr w:rsidR="00665B2B" w:rsidRPr="00665B2B" w:rsidTr="00665B2B">
        <w:trPr>
          <w:trHeight w:val="36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2B" w:rsidRPr="00665B2B" w:rsidRDefault="00665B2B" w:rsidP="00665B2B">
            <w:pPr>
              <w:jc w:val="center"/>
              <w:rPr>
                <w:b/>
                <w:bCs/>
              </w:rPr>
            </w:pPr>
            <w:r w:rsidRPr="00665B2B">
              <w:rPr>
                <w:b/>
                <w:bCs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2B" w:rsidRPr="00665B2B" w:rsidRDefault="00665B2B" w:rsidP="00665B2B">
            <w:pPr>
              <w:jc w:val="center"/>
            </w:pPr>
            <w:r w:rsidRPr="00665B2B">
              <w:t>2015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2B" w:rsidRPr="00665B2B" w:rsidRDefault="00665B2B" w:rsidP="00665B2B">
            <w:pPr>
              <w:jc w:val="center"/>
            </w:pPr>
            <w:r w:rsidRPr="00665B2B">
              <w:t>2016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2B" w:rsidRPr="00665B2B" w:rsidRDefault="00665B2B" w:rsidP="00665B2B">
            <w:pPr>
              <w:jc w:val="center"/>
            </w:pPr>
            <w:r w:rsidRPr="00665B2B">
              <w:t>2017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2B" w:rsidRPr="00665B2B" w:rsidRDefault="00665B2B" w:rsidP="00665B2B">
            <w:pPr>
              <w:jc w:val="center"/>
            </w:pPr>
            <w:r w:rsidRPr="00665B2B">
              <w:t>2018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B2B" w:rsidRPr="00665B2B" w:rsidRDefault="00665B2B" w:rsidP="00665B2B">
            <w:pPr>
              <w:jc w:val="center"/>
            </w:pPr>
            <w:r w:rsidRPr="00665B2B">
              <w:t>2019</w:t>
            </w:r>
          </w:p>
        </w:tc>
        <w:tc>
          <w:tcPr>
            <w:tcW w:w="3985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</w:tr>
      <w:tr w:rsidR="00665B2B" w:rsidRPr="00665B2B" w:rsidTr="00665B2B">
        <w:trPr>
          <w:trHeight w:val="255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2B" w:rsidRPr="00665B2B" w:rsidRDefault="00665B2B" w:rsidP="00665B2B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2B" w:rsidRPr="00665B2B" w:rsidRDefault="00665B2B" w:rsidP="00665B2B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2B" w:rsidRPr="00665B2B" w:rsidRDefault="00665B2B" w:rsidP="00665B2B">
            <w:pPr>
              <w:jc w:val="center"/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2B" w:rsidRPr="00665B2B" w:rsidRDefault="00665B2B" w:rsidP="00665B2B">
            <w:pPr>
              <w:jc w:val="center"/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2B" w:rsidRPr="00665B2B" w:rsidRDefault="00665B2B" w:rsidP="00665B2B">
            <w:pPr>
              <w:jc w:val="center"/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2B" w:rsidRPr="00665B2B" w:rsidRDefault="00665B2B" w:rsidP="00665B2B">
            <w:pPr>
              <w:jc w:val="center"/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2B" w:rsidRPr="00665B2B" w:rsidRDefault="00665B2B" w:rsidP="00665B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</w:tr>
      <w:tr w:rsidR="00665B2B" w:rsidRPr="00665B2B" w:rsidTr="00665B2B">
        <w:trPr>
          <w:trHeight w:val="375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2B" w:rsidRPr="00665B2B" w:rsidRDefault="00665B2B" w:rsidP="00665B2B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2B" w:rsidRPr="00665B2B" w:rsidRDefault="00665B2B" w:rsidP="00665B2B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2B" w:rsidRPr="00665B2B" w:rsidRDefault="00665B2B" w:rsidP="00665B2B">
            <w:pPr>
              <w:jc w:val="center"/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2B" w:rsidRPr="00665B2B" w:rsidRDefault="00665B2B" w:rsidP="00665B2B">
            <w:pPr>
              <w:jc w:val="center"/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2B" w:rsidRPr="00665B2B" w:rsidRDefault="00665B2B" w:rsidP="00665B2B">
            <w:pPr>
              <w:jc w:val="center"/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B2B" w:rsidRPr="00665B2B" w:rsidRDefault="00665B2B" w:rsidP="00665B2B">
            <w:pPr>
              <w:jc w:val="center"/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2B" w:rsidRPr="00665B2B" w:rsidRDefault="00665B2B" w:rsidP="00665B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65B2B" w:rsidRPr="00665B2B" w:rsidRDefault="00665B2B" w:rsidP="00665B2B">
            <w:pPr>
              <w:rPr>
                <w:sz w:val="20"/>
                <w:szCs w:val="20"/>
              </w:rPr>
            </w:pPr>
          </w:p>
        </w:tc>
      </w:tr>
      <w:tr w:rsidR="0046631C" w:rsidRPr="00665B2B" w:rsidTr="00665B2B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1C" w:rsidRPr="00665B2B" w:rsidRDefault="0046631C" w:rsidP="00665B2B">
            <w:r w:rsidRPr="00665B2B">
              <w:t>ФОТ производственных рабочих всего, тыс</w:t>
            </w:r>
            <w:proofErr w:type="gramStart"/>
            <w:r w:rsidRPr="00665B2B">
              <w:t>.р</w:t>
            </w:r>
            <w:proofErr w:type="gramEnd"/>
            <w:r w:rsidRPr="00665B2B"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1C" w:rsidRPr="00665B2B" w:rsidRDefault="0046631C" w:rsidP="00665B2B">
            <w:pPr>
              <w:jc w:val="center"/>
            </w:pPr>
            <w:r w:rsidRPr="00665B2B">
              <w:t>1 342,32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1C" w:rsidRDefault="0046631C">
            <w:pPr>
              <w:jc w:val="center"/>
            </w:pPr>
            <w:r>
              <w:t>1 427,24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1C" w:rsidRDefault="0046631C">
            <w:pPr>
              <w:jc w:val="center"/>
            </w:pPr>
            <w:r>
              <w:t>1 494,92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1C" w:rsidRDefault="0046631C">
            <w:pPr>
              <w:jc w:val="center"/>
            </w:pPr>
            <w:r>
              <w:t>1 561,37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1C" w:rsidRDefault="0046631C">
            <w:pPr>
              <w:jc w:val="center"/>
            </w:pPr>
            <w:r>
              <w:t>1 630,77</w:t>
            </w:r>
          </w:p>
        </w:tc>
        <w:tc>
          <w:tcPr>
            <w:tcW w:w="3985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</w:tr>
      <w:tr w:rsidR="0046631C" w:rsidRPr="00665B2B" w:rsidTr="00665B2B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1C" w:rsidRPr="00665B2B" w:rsidRDefault="0046631C" w:rsidP="00665B2B">
            <w:r w:rsidRPr="00665B2B">
              <w:t>Расходы по содержанию и эксплуатации оборудования, тыс</w:t>
            </w:r>
            <w:proofErr w:type="gramStart"/>
            <w:r w:rsidRPr="00665B2B">
              <w:t>.р</w:t>
            </w:r>
            <w:proofErr w:type="gramEnd"/>
            <w:r w:rsidRPr="00665B2B">
              <w:t>уб.,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1C" w:rsidRPr="00665B2B" w:rsidRDefault="0046631C" w:rsidP="00665B2B">
            <w:pPr>
              <w:jc w:val="center"/>
            </w:pPr>
            <w:r w:rsidRPr="00665B2B">
              <w:t>2355,59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1C" w:rsidRDefault="0046631C">
            <w:pPr>
              <w:jc w:val="center"/>
            </w:pPr>
            <w:r>
              <w:t>2504,61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1C" w:rsidRDefault="0046631C">
            <w:pPr>
              <w:jc w:val="center"/>
            </w:pPr>
            <w:r>
              <w:t>2623,38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1C" w:rsidRDefault="0046631C">
            <w:pPr>
              <w:jc w:val="center"/>
            </w:pPr>
            <w:r>
              <w:t>2739,98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1C" w:rsidRDefault="0046631C">
            <w:pPr>
              <w:jc w:val="center"/>
            </w:pPr>
            <w:r>
              <w:t>2861,78</w:t>
            </w:r>
          </w:p>
        </w:tc>
        <w:tc>
          <w:tcPr>
            <w:tcW w:w="3985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</w:tr>
      <w:tr w:rsidR="0046631C" w:rsidRPr="00665B2B" w:rsidTr="00665B2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1C" w:rsidRPr="00665B2B" w:rsidRDefault="0046631C" w:rsidP="00665B2B">
            <w:pPr>
              <w:rPr>
                <w:i/>
                <w:iCs/>
              </w:rPr>
            </w:pPr>
            <w:r w:rsidRPr="00665B2B">
              <w:rPr>
                <w:i/>
                <w:iCs/>
              </w:rPr>
              <w:t xml:space="preserve">   -работы и услуги производственного характера</w:t>
            </w:r>
            <w:proofErr w:type="gramStart"/>
            <w:r w:rsidRPr="00665B2B">
              <w:rPr>
                <w:i/>
                <w:iCs/>
              </w:rPr>
              <w:t>.</w:t>
            </w:r>
            <w:proofErr w:type="gramEnd"/>
            <w:r w:rsidRPr="00665B2B">
              <w:rPr>
                <w:i/>
                <w:iCs/>
              </w:rPr>
              <w:t xml:space="preserve"> </w:t>
            </w:r>
            <w:proofErr w:type="gramStart"/>
            <w:r w:rsidRPr="00665B2B">
              <w:rPr>
                <w:i/>
                <w:iCs/>
              </w:rPr>
              <w:t>т</w:t>
            </w:r>
            <w:proofErr w:type="gramEnd"/>
            <w:r w:rsidRPr="00665B2B">
              <w:rPr>
                <w:i/>
                <w:iCs/>
              </w:rPr>
              <w:t>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1C" w:rsidRPr="00665B2B" w:rsidRDefault="0046631C" w:rsidP="00665B2B">
            <w:pPr>
              <w:jc w:val="center"/>
            </w:pPr>
            <w:r w:rsidRPr="00665B2B">
              <w:t>2 355,59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1C" w:rsidRDefault="0046631C" w:rsidP="00F1128C">
            <w:pPr>
              <w:jc w:val="center"/>
            </w:pPr>
            <w:r>
              <w:t>2504,61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1C" w:rsidRDefault="0046631C" w:rsidP="00F1128C">
            <w:pPr>
              <w:jc w:val="center"/>
            </w:pPr>
            <w:r>
              <w:t>2623,38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1C" w:rsidRDefault="0046631C" w:rsidP="00F1128C">
            <w:pPr>
              <w:jc w:val="center"/>
            </w:pPr>
            <w:r>
              <w:t>2739,98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1C" w:rsidRDefault="0046631C" w:rsidP="00F1128C">
            <w:pPr>
              <w:jc w:val="center"/>
            </w:pPr>
            <w:r>
              <w:t>2861,78</w:t>
            </w:r>
          </w:p>
        </w:tc>
        <w:tc>
          <w:tcPr>
            <w:tcW w:w="3985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</w:tr>
      <w:tr w:rsidR="0046631C" w:rsidRPr="00665B2B" w:rsidTr="00665B2B">
        <w:trPr>
          <w:trHeight w:val="6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1C" w:rsidRDefault="0046631C" w:rsidP="00665B2B">
            <w:r w:rsidRPr="00665B2B">
              <w:t>Общехозяйственные расходы,</w:t>
            </w:r>
            <w:r>
              <w:t xml:space="preserve"> </w:t>
            </w:r>
            <w:r w:rsidRPr="00665B2B">
              <w:t>тыс</w:t>
            </w:r>
            <w:proofErr w:type="gramStart"/>
            <w:r w:rsidRPr="00665B2B">
              <w:t>.р</w:t>
            </w:r>
            <w:proofErr w:type="gramEnd"/>
            <w:r w:rsidRPr="00665B2B">
              <w:t xml:space="preserve">уб.,         </w:t>
            </w:r>
          </w:p>
          <w:p w:rsidR="0046631C" w:rsidRPr="00665B2B" w:rsidRDefault="0046631C" w:rsidP="00665B2B">
            <w:r w:rsidRPr="00665B2B">
              <w:t xml:space="preserve">         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1C" w:rsidRPr="00665B2B" w:rsidRDefault="0046631C" w:rsidP="00665B2B">
            <w:pPr>
              <w:jc w:val="center"/>
            </w:pPr>
            <w:r w:rsidRPr="00665B2B">
              <w:t>3607,74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1C" w:rsidRDefault="0046631C">
            <w:pPr>
              <w:jc w:val="center"/>
            </w:pPr>
            <w:r>
              <w:t>3835,97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1C" w:rsidRDefault="0046631C">
            <w:pPr>
              <w:jc w:val="center"/>
            </w:pPr>
            <w:r>
              <w:t>4017,87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1C" w:rsidRDefault="0046631C">
            <w:pPr>
              <w:jc w:val="center"/>
            </w:pPr>
            <w:r>
              <w:t>4196,46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1C" w:rsidRDefault="0046631C">
            <w:pPr>
              <w:jc w:val="center"/>
            </w:pPr>
            <w:r>
              <w:t>4383,00</w:t>
            </w:r>
          </w:p>
        </w:tc>
        <w:tc>
          <w:tcPr>
            <w:tcW w:w="3985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</w:tr>
      <w:tr w:rsidR="0046631C" w:rsidRPr="00665B2B" w:rsidTr="00665B2B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1C" w:rsidRPr="00665B2B" w:rsidRDefault="0046631C" w:rsidP="00665B2B">
            <w:pPr>
              <w:rPr>
                <w:i/>
                <w:iCs/>
              </w:rPr>
            </w:pPr>
            <w:r w:rsidRPr="00665B2B">
              <w:rPr>
                <w:i/>
                <w:iCs/>
              </w:rPr>
              <w:t xml:space="preserve">      - 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1C" w:rsidRPr="00665B2B" w:rsidRDefault="0046631C" w:rsidP="00665B2B">
            <w:pPr>
              <w:jc w:val="center"/>
            </w:pPr>
            <w:r w:rsidRPr="00665B2B">
              <w:t>3 607,74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1C" w:rsidRDefault="0046631C">
            <w:pPr>
              <w:jc w:val="center"/>
            </w:pPr>
            <w:r>
              <w:t>3835,97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1C" w:rsidRDefault="0046631C">
            <w:pPr>
              <w:jc w:val="center"/>
            </w:pPr>
            <w:r>
              <w:t>4017,87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1C" w:rsidRDefault="0046631C">
            <w:pPr>
              <w:jc w:val="center"/>
            </w:pPr>
            <w:r>
              <w:t>4196,46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31C" w:rsidRDefault="0046631C">
            <w:pPr>
              <w:jc w:val="center"/>
            </w:pPr>
            <w:r>
              <w:t>4383,00</w:t>
            </w:r>
          </w:p>
        </w:tc>
        <w:tc>
          <w:tcPr>
            <w:tcW w:w="3985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</w:tr>
      <w:tr w:rsidR="0046631C" w:rsidRPr="00665B2B" w:rsidTr="00665B2B">
        <w:trPr>
          <w:trHeight w:val="68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631C" w:rsidRDefault="0046631C" w:rsidP="00665B2B">
            <w:pPr>
              <w:rPr>
                <w:b/>
                <w:bCs/>
                <w:i/>
                <w:iCs/>
              </w:rPr>
            </w:pPr>
            <w:r w:rsidRPr="00665B2B">
              <w:rPr>
                <w:b/>
                <w:bCs/>
                <w:i/>
                <w:iCs/>
              </w:rPr>
              <w:t xml:space="preserve">ВСЕГО ПОДКОНТРОЛЬНЫЕ РАСХОДЫ, </w:t>
            </w:r>
          </w:p>
          <w:p w:rsidR="0046631C" w:rsidRPr="00665B2B" w:rsidRDefault="0046631C" w:rsidP="00665B2B">
            <w:pPr>
              <w:rPr>
                <w:b/>
                <w:bCs/>
                <w:i/>
                <w:iCs/>
              </w:rPr>
            </w:pPr>
            <w:r w:rsidRPr="00665B2B">
              <w:rPr>
                <w:b/>
                <w:bCs/>
                <w:i/>
                <w:iCs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631C" w:rsidRPr="00665B2B" w:rsidRDefault="0046631C" w:rsidP="00665B2B">
            <w:pPr>
              <w:jc w:val="center"/>
              <w:rPr>
                <w:b/>
                <w:bCs/>
              </w:rPr>
            </w:pPr>
            <w:r w:rsidRPr="00665B2B">
              <w:rPr>
                <w:b/>
                <w:bCs/>
              </w:rPr>
              <w:t>7 305,66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631C" w:rsidRDefault="004663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7 767,81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631C" w:rsidRDefault="004663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8 136,16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631C" w:rsidRDefault="004663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8 497,82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6631C" w:rsidRDefault="004663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8 875,54</w:t>
            </w:r>
          </w:p>
        </w:tc>
        <w:tc>
          <w:tcPr>
            <w:tcW w:w="3985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6631C" w:rsidRPr="00665B2B" w:rsidRDefault="0046631C" w:rsidP="00665B2B">
            <w:pPr>
              <w:rPr>
                <w:sz w:val="20"/>
                <w:szCs w:val="20"/>
              </w:rPr>
            </w:pPr>
          </w:p>
        </w:tc>
      </w:tr>
      <w:tr w:rsidR="009F2308" w:rsidRPr="00665B2B" w:rsidTr="00665B2B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08" w:rsidRPr="00665B2B" w:rsidRDefault="009F2308" w:rsidP="00665B2B">
            <w:r w:rsidRPr="00665B2B">
              <w:t>Отчисления на социальные нужды, тыс</w:t>
            </w:r>
            <w:proofErr w:type="gramStart"/>
            <w:r w:rsidRPr="00665B2B">
              <w:t>.р</w:t>
            </w:r>
            <w:proofErr w:type="gramEnd"/>
            <w:r w:rsidRPr="00665B2B">
              <w:t>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08" w:rsidRPr="00665B2B" w:rsidRDefault="009F2308" w:rsidP="00665B2B">
            <w:pPr>
              <w:jc w:val="center"/>
            </w:pPr>
            <w:r w:rsidRPr="00665B2B">
              <w:t>402,70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08" w:rsidRDefault="009F2308">
            <w:pPr>
              <w:jc w:val="center"/>
            </w:pPr>
            <w:r>
              <w:t>433,88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08" w:rsidRDefault="009F2308">
            <w:pPr>
              <w:jc w:val="center"/>
            </w:pPr>
            <w:r>
              <w:t>448,48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08" w:rsidRDefault="009F2308">
            <w:pPr>
              <w:jc w:val="center"/>
            </w:pPr>
            <w:r>
              <w:t>468,41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08" w:rsidRDefault="009F2308">
            <w:pPr>
              <w:jc w:val="center"/>
            </w:pPr>
            <w:r>
              <w:t>489,23</w:t>
            </w:r>
          </w:p>
        </w:tc>
        <w:tc>
          <w:tcPr>
            <w:tcW w:w="3985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</w:tr>
      <w:tr w:rsidR="009F2308" w:rsidRPr="00665B2B" w:rsidTr="00F1128C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08" w:rsidRPr="00665B2B" w:rsidRDefault="009F2308" w:rsidP="00665B2B">
            <w:r w:rsidRPr="00665B2B">
              <w:t>Амортизация основных фондов,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08" w:rsidRPr="00665B2B" w:rsidRDefault="009F2308" w:rsidP="00665B2B">
            <w:pPr>
              <w:jc w:val="center"/>
            </w:pPr>
            <w:r w:rsidRPr="00665B2B">
              <w:t>66,00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08" w:rsidRDefault="009F2308" w:rsidP="00F1128C">
            <w:pPr>
              <w:jc w:val="center"/>
            </w:pPr>
            <w:r>
              <w:t>296,89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08" w:rsidRDefault="009F2308" w:rsidP="00F1128C">
            <w:pPr>
              <w:jc w:val="center"/>
            </w:pPr>
            <w:r>
              <w:t>296,89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08" w:rsidRDefault="009F2308" w:rsidP="00F1128C">
            <w:pPr>
              <w:jc w:val="center"/>
            </w:pPr>
            <w:r>
              <w:t>296,89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08" w:rsidRDefault="009F2308" w:rsidP="00F1128C">
            <w:pPr>
              <w:jc w:val="center"/>
            </w:pPr>
            <w:r>
              <w:t>296,89</w:t>
            </w:r>
          </w:p>
        </w:tc>
        <w:tc>
          <w:tcPr>
            <w:tcW w:w="3985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</w:tr>
      <w:tr w:rsidR="009F2308" w:rsidRPr="00665B2B" w:rsidTr="00665B2B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08" w:rsidRPr="00665B2B" w:rsidRDefault="009F2308" w:rsidP="00665B2B">
            <w:r>
              <w:t>Капитальные вложения,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08" w:rsidRPr="00665B2B" w:rsidRDefault="009F2308" w:rsidP="00665B2B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08" w:rsidRDefault="009F2308">
            <w:pPr>
              <w:jc w:val="center"/>
            </w:pPr>
            <w:r>
              <w:t>305,19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08" w:rsidRDefault="009F2308">
            <w:pPr>
              <w:jc w:val="center"/>
            </w:pPr>
            <w: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08" w:rsidRDefault="009F2308">
            <w:pPr>
              <w:jc w:val="center"/>
            </w:pPr>
            <w: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08" w:rsidRDefault="009F2308">
            <w:pPr>
              <w:jc w:val="center"/>
            </w:pPr>
            <w:r>
              <w:t>0</w:t>
            </w:r>
          </w:p>
        </w:tc>
        <w:tc>
          <w:tcPr>
            <w:tcW w:w="3985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</w:tr>
      <w:tr w:rsidR="009F2308" w:rsidRPr="00665B2B" w:rsidTr="00665B2B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08" w:rsidRPr="00665B2B" w:rsidRDefault="009F2308" w:rsidP="00665B2B">
            <w:r w:rsidRPr="00665B2B">
              <w:t xml:space="preserve">Аренда, лизинг, тыс. руб., в том числе: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08" w:rsidRPr="00665B2B" w:rsidRDefault="009F2308" w:rsidP="00665B2B">
            <w:pPr>
              <w:jc w:val="center"/>
            </w:pPr>
            <w:r w:rsidRPr="00665B2B">
              <w:t>720,50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08" w:rsidRDefault="009F2308">
            <w:pPr>
              <w:jc w:val="center"/>
            </w:pPr>
            <w:r>
              <w:t>955,32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08" w:rsidRDefault="009F2308">
            <w:pPr>
              <w:jc w:val="center"/>
            </w:pPr>
            <w:r>
              <w:t>955,32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08" w:rsidRDefault="009F2308">
            <w:pPr>
              <w:jc w:val="center"/>
            </w:pPr>
            <w:r>
              <w:t>955,32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08" w:rsidRDefault="009F2308">
            <w:pPr>
              <w:jc w:val="center"/>
            </w:pPr>
            <w:r>
              <w:t>955,32</w:t>
            </w:r>
          </w:p>
        </w:tc>
        <w:tc>
          <w:tcPr>
            <w:tcW w:w="3985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</w:tr>
      <w:tr w:rsidR="009F2308" w:rsidRPr="00665B2B" w:rsidTr="00F1128C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08" w:rsidRPr="00665B2B" w:rsidRDefault="009F2308" w:rsidP="00665B2B">
            <w:pPr>
              <w:rPr>
                <w:i/>
                <w:iCs/>
              </w:rPr>
            </w:pPr>
            <w:r w:rsidRPr="00665B2B">
              <w:rPr>
                <w:i/>
                <w:iCs/>
              </w:rPr>
              <w:t xml:space="preserve">     - Аренда электросетевого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08" w:rsidRPr="00665B2B" w:rsidRDefault="009F2308" w:rsidP="00665B2B">
            <w:pPr>
              <w:jc w:val="center"/>
            </w:pPr>
            <w:r w:rsidRPr="00665B2B">
              <w:t>720,50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08" w:rsidRDefault="009F2308">
            <w:pPr>
              <w:jc w:val="center"/>
            </w:pPr>
            <w:r>
              <w:t>955,32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08" w:rsidRDefault="009F23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08" w:rsidRDefault="009F23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308" w:rsidRDefault="009F230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85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</w:tr>
      <w:tr w:rsidR="009F2308" w:rsidRPr="00665B2B" w:rsidTr="00665B2B">
        <w:trPr>
          <w:trHeight w:val="3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08" w:rsidRPr="00665B2B" w:rsidRDefault="009F2308" w:rsidP="00665B2B">
            <w:r w:rsidRPr="00665B2B">
              <w:t>Налоги</w:t>
            </w:r>
            <w:proofErr w:type="gramStart"/>
            <w:r w:rsidRPr="00665B2B">
              <w:t>,т</w:t>
            </w:r>
            <w:proofErr w:type="gramEnd"/>
            <w:r w:rsidRPr="00665B2B">
              <w:t>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08" w:rsidRPr="00665B2B" w:rsidRDefault="009F2308" w:rsidP="00665B2B">
            <w:pPr>
              <w:jc w:val="center"/>
            </w:pPr>
            <w:r w:rsidRPr="00665B2B">
              <w:t>83,95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08" w:rsidRDefault="009F2308">
            <w:pPr>
              <w:jc w:val="center"/>
            </w:pPr>
            <w:r>
              <w:t>159,25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08" w:rsidRDefault="009F2308">
            <w:pPr>
              <w:jc w:val="center"/>
            </w:pPr>
            <w:r>
              <w:t>168,49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08" w:rsidRDefault="009F2308">
            <w:pPr>
              <w:jc w:val="center"/>
            </w:pPr>
            <w:r>
              <w:t>177,75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08" w:rsidRDefault="009F2308">
            <w:pPr>
              <w:jc w:val="center"/>
            </w:pPr>
            <w:r>
              <w:t>187,53</w:t>
            </w:r>
          </w:p>
        </w:tc>
        <w:tc>
          <w:tcPr>
            <w:tcW w:w="3985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</w:tr>
      <w:tr w:rsidR="009F2308" w:rsidRPr="00665B2B" w:rsidTr="00665B2B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08" w:rsidRPr="00665B2B" w:rsidRDefault="009F2308" w:rsidP="00665B2B">
            <w:r w:rsidRPr="00665B2B">
              <w:t>Налог на прибыль,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08" w:rsidRPr="00665B2B" w:rsidRDefault="009F2308" w:rsidP="00665B2B">
            <w:pPr>
              <w:jc w:val="center"/>
            </w:pPr>
            <w:r w:rsidRPr="00665B2B">
              <w:t>92,99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08" w:rsidRDefault="009F2308" w:rsidP="009F2308">
            <w:pPr>
              <w:jc w:val="center"/>
            </w:pPr>
            <w:r>
              <w:t>76,30 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08" w:rsidRDefault="009F2308">
            <w:pPr>
              <w:jc w:val="center"/>
            </w:pPr>
            <w:r>
              <w:t>100,05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08" w:rsidRDefault="009F2308">
            <w:pPr>
              <w:jc w:val="center"/>
            </w:pPr>
            <w:r>
              <w:t>103,96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08" w:rsidRDefault="009F2308">
            <w:pPr>
              <w:jc w:val="center"/>
            </w:pPr>
            <w:r>
              <w:t>108,05</w:t>
            </w:r>
          </w:p>
        </w:tc>
        <w:tc>
          <w:tcPr>
            <w:tcW w:w="3985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</w:tr>
      <w:tr w:rsidR="009F2308" w:rsidRPr="00665B2B" w:rsidTr="00665B2B">
        <w:trPr>
          <w:trHeight w:val="7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F2308" w:rsidRPr="00665B2B" w:rsidRDefault="009F2308" w:rsidP="00665B2B">
            <w:pPr>
              <w:rPr>
                <w:b/>
                <w:bCs/>
                <w:i/>
                <w:iCs/>
              </w:rPr>
            </w:pPr>
            <w:r w:rsidRPr="00665B2B">
              <w:rPr>
                <w:b/>
                <w:bCs/>
                <w:i/>
                <w:iCs/>
              </w:rPr>
              <w:t>ВСЕГО НЕПОДКОНТРОЛЬНЫЕ РАСХОДЫ,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F2308" w:rsidRPr="00665B2B" w:rsidRDefault="009F2308" w:rsidP="00665B2B">
            <w:pPr>
              <w:jc w:val="center"/>
              <w:rPr>
                <w:b/>
                <w:bCs/>
              </w:rPr>
            </w:pPr>
            <w:r w:rsidRPr="00665B2B">
              <w:rPr>
                <w:b/>
                <w:bCs/>
              </w:rPr>
              <w:t>1 366,14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F2308" w:rsidRDefault="009F23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2 226,83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F2308" w:rsidRDefault="009F23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1 969,23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F2308" w:rsidRDefault="009F23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2 002,34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F2308" w:rsidRDefault="009F23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2 037,02</w:t>
            </w:r>
          </w:p>
        </w:tc>
        <w:tc>
          <w:tcPr>
            <w:tcW w:w="3985" w:type="dxa"/>
            <w:vAlign w:val="center"/>
            <w:hideMark/>
          </w:tcPr>
          <w:p w:rsidR="009F2308" w:rsidRDefault="009F2308" w:rsidP="00665B2B">
            <w:pPr>
              <w:rPr>
                <w:sz w:val="20"/>
                <w:szCs w:val="20"/>
              </w:rPr>
            </w:pPr>
          </w:p>
          <w:p w:rsidR="0069285E" w:rsidRPr="00665B2B" w:rsidRDefault="0069285E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</w:tr>
      <w:tr w:rsidR="0069285E" w:rsidRPr="00665B2B" w:rsidTr="0069285E">
        <w:trPr>
          <w:trHeight w:val="7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85E" w:rsidRPr="0069285E" w:rsidRDefault="0069285E" w:rsidP="00665B2B">
            <w:r w:rsidRPr="0069285E">
              <w:t>Корректировка НВВ с учетом надежности и качества реализуемых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85E" w:rsidRPr="0069285E" w:rsidRDefault="0069285E" w:rsidP="003823A8">
            <w:pPr>
              <w:jc w:val="center"/>
            </w:pPr>
            <w:r w:rsidRPr="0069285E"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85E" w:rsidRPr="0069285E" w:rsidRDefault="0069285E" w:rsidP="003823A8">
            <w:pPr>
              <w:jc w:val="center"/>
            </w:pPr>
            <w:r w:rsidRPr="0069285E">
              <w:t>112,73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85E" w:rsidRPr="0069285E" w:rsidRDefault="0069285E" w:rsidP="003823A8">
            <w:pPr>
              <w:jc w:val="center"/>
            </w:pPr>
            <w:r w:rsidRPr="0069285E"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85E" w:rsidRPr="0069285E" w:rsidRDefault="0069285E" w:rsidP="003823A8">
            <w:pPr>
              <w:jc w:val="center"/>
            </w:pPr>
            <w:r w:rsidRPr="0069285E">
              <w:t>-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85E" w:rsidRPr="0069285E" w:rsidRDefault="0069285E" w:rsidP="003823A8">
            <w:pPr>
              <w:jc w:val="center"/>
            </w:pPr>
            <w:r w:rsidRPr="0069285E">
              <w:t>-</w:t>
            </w:r>
          </w:p>
        </w:tc>
        <w:tc>
          <w:tcPr>
            <w:tcW w:w="3985" w:type="dxa"/>
            <w:vAlign w:val="center"/>
            <w:hideMark/>
          </w:tcPr>
          <w:p w:rsidR="0069285E" w:rsidRDefault="0069285E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9285E" w:rsidRPr="00665B2B" w:rsidRDefault="0069285E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9285E" w:rsidRPr="00665B2B" w:rsidRDefault="0069285E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9285E" w:rsidRPr="00665B2B" w:rsidRDefault="0069285E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9285E" w:rsidRPr="00665B2B" w:rsidRDefault="0069285E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9285E" w:rsidRPr="00665B2B" w:rsidRDefault="0069285E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9285E" w:rsidRPr="00665B2B" w:rsidRDefault="0069285E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9285E" w:rsidRPr="00665B2B" w:rsidRDefault="0069285E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9285E" w:rsidRPr="00665B2B" w:rsidRDefault="0069285E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9285E" w:rsidRPr="00665B2B" w:rsidRDefault="0069285E" w:rsidP="00665B2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  <w:hideMark/>
          </w:tcPr>
          <w:p w:rsidR="0069285E" w:rsidRPr="00665B2B" w:rsidRDefault="0069285E" w:rsidP="00665B2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  <w:hideMark/>
          </w:tcPr>
          <w:p w:rsidR="0069285E" w:rsidRPr="00665B2B" w:rsidRDefault="0069285E" w:rsidP="00665B2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  <w:hideMark/>
          </w:tcPr>
          <w:p w:rsidR="0069285E" w:rsidRPr="00665B2B" w:rsidRDefault="0069285E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9285E" w:rsidRPr="00665B2B" w:rsidRDefault="0069285E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9285E" w:rsidRPr="00665B2B" w:rsidRDefault="0069285E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9285E" w:rsidRPr="00665B2B" w:rsidRDefault="0069285E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9285E" w:rsidRPr="00665B2B" w:rsidRDefault="0069285E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9285E" w:rsidRPr="00665B2B" w:rsidRDefault="0069285E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9285E" w:rsidRPr="00665B2B" w:rsidRDefault="0069285E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9285E" w:rsidRPr="00665B2B" w:rsidRDefault="0069285E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9285E" w:rsidRPr="00665B2B" w:rsidRDefault="0069285E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9285E" w:rsidRPr="00665B2B" w:rsidRDefault="0069285E" w:rsidP="00665B2B">
            <w:pPr>
              <w:rPr>
                <w:sz w:val="20"/>
                <w:szCs w:val="20"/>
              </w:rPr>
            </w:pPr>
          </w:p>
        </w:tc>
      </w:tr>
      <w:tr w:rsidR="009F2308" w:rsidRPr="00665B2B" w:rsidTr="00665B2B">
        <w:trPr>
          <w:trHeight w:val="49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2308" w:rsidRPr="00665B2B" w:rsidRDefault="009F2308" w:rsidP="00665B2B">
            <w:pPr>
              <w:rPr>
                <w:b/>
                <w:bCs/>
              </w:rPr>
            </w:pPr>
            <w:r w:rsidRPr="00665B2B">
              <w:rPr>
                <w:b/>
                <w:bCs/>
              </w:rPr>
              <w:t>ВСЕГО НВВ на содержание, 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2308" w:rsidRPr="00665B2B" w:rsidRDefault="009F2308" w:rsidP="00665B2B">
            <w:pPr>
              <w:jc w:val="center"/>
              <w:rPr>
                <w:b/>
                <w:bCs/>
              </w:rPr>
            </w:pPr>
            <w:r w:rsidRPr="00665B2B">
              <w:rPr>
                <w:b/>
                <w:bCs/>
              </w:rPr>
              <w:t>8 671,80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2308" w:rsidRDefault="009F23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10 107,38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2308" w:rsidRDefault="009F23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10 105,39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2308" w:rsidRDefault="009F23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10 500,15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2308" w:rsidRDefault="009F23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10 912,56</w:t>
            </w:r>
          </w:p>
        </w:tc>
        <w:tc>
          <w:tcPr>
            <w:tcW w:w="3985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F2308" w:rsidRPr="00665B2B" w:rsidRDefault="009F2308" w:rsidP="00665B2B">
            <w:pPr>
              <w:rPr>
                <w:sz w:val="20"/>
                <w:szCs w:val="20"/>
              </w:rPr>
            </w:pPr>
          </w:p>
        </w:tc>
      </w:tr>
    </w:tbl>
    <w:p w:rsidR="00665B2B" w:rsidRDefault="00665B2B" w:rsidP="005E1188">
      <w:pPr>
        <w:pStyle w:val="a3"/>
        <w:ind w:firstLine="709"/>
        <w:jc w:val="right"/>
        <w:rPr>
          <w:bCs/>
          <w:lang w:val="ru-RU"/>
        </w:rPr>
        <w:sectPr w:rsidR="00665B2B" w:rsidSect="00665B2B">
          <w:pgSz w:w="16838" w:h="11906" w:orient="landscape" w:code="9"/>
          <w:pgMar w:top="567" w:right="1134" w:bottom="1134" w:left="1134" w:header="567" w:footer="720" w:gutter="0"/>
          <w:cols w:space="708"/>
          <w:titlePg/>
          <w:docGrid w:linePitch="360"/>
        </w:sectPr>
      </w:pPr>
    </w:p>
    <w:p w:rsidR="00CD30BF" w:rsidRDefault="000E7A18" w:rsidP="0097710D">
      <w:pPr>
        <w:pStyle w:val="a7"/>
        <w:rPr>
          <w:szCs w:val="28"/>
        </w:rPr>
      </w:pPr>
      <w:r w:rsidRPr="000E7A18">
        <w:lastRenderedPageBreak/>
        <w:pict>
          <v:shape id="_x0000_i1030" type="#_x0000_t75" style="width:510pt;height:621.75pt">
            <v:imagedata r:id="rId18" o:title=""/>
          </v:shape>
        </w:pict>
      </w:r>
    </w:p>
    <w:p w:rsidR="00FD28F9" w:rsidRDefault="00FD28F9" w:rsidP="0097710D">
      <w:pPr>
        <w:pStyle w:val="a7"/>
      </w:pPr>
    </w:p>
    <w:sectPr w:rsidR="00FD28F9" w:rsidSect="00AB2814">
      <w:pgSz w:w="11906" w:h="16838" w:code="9"/>
      <w:pgMar w:top="1134" w:right="567" w:bottom="1134" w:left="1134" w:header="56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E12" w:rsidRDefault="00043E12">
      <w:r>
        <w:separator/>
      </w:r>
    </w:p>
  </w:endnote>
  <w:endnote w:type="continuationSeparator" w:id="1">
    <w:p w:rsidR="00043E12" w:rsidRDefault="00043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3A" w:rsidRDefault="00C86F3A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6F3A" w:rsidRDefault="00C86F3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3A" w:rsidRDefault="00C86F3A">
    <w:pPr>
      <w:pStyle w:val="a6"/>
      <w:framePr w:wrap="around" w:vAnchor="text" w:hAnchor="margin" w:xAlign="right" w:y="1"/>
      <w:rPr>
        <w:rStyle w:val="a9"/>
        <w:u w:val="none"/>
      </w:rPr>
    </w:pPr>
  </w:p>
  <w:p w:rsidR="00C86F3A" w:rsidRDefault="00C86F3A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3A" w:rsidRDefault="00C86F3A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E12" w:rsidRDefault="00043E12">
      <w:r>
        <w:separator/>
      </w:r>
    </w:p>
  </w:footnote>
  <w:footnote w:type="continuationSeparator" w:id="1">
    <w:p w:rsidR="00043E12" w:rsidRDefault="00043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3A" w:rsidRDefault="00C86F3A" w:rsidP="008561A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6F3A" w:rsidRDefault="00C86F3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3A" w:rsidRDefault="00C86F3A" w:rsidP="008561AA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E33C2">
      <w:rPr>
        <w:rStyle w:val="a9"/>
        <w:noProof/>
      </w:rPr>
      <w:t>6</w:t>
    </w:r>
    <w:r>
      <w:rPr>
        <w:rStyle w:val="a9"/>
      </w:rPr>
      <w:fldChar w:fldCharType="end"/>
    </w:r>
  </w:p>
  <w:p w:rsidR="00C86F3A" w:rsidRDefault="00C86F3A" w:rsidP="008561AA">
    <w:pPr>
      <w:pStyle w:val="a7"/>
      <w:framePr w:wrap="around" w:vAnchor="text" w:hAnchor="margin" w:xAlign="center" w:y="1"/>
      <w:rPr>
        <w:rStyle w:val="a9"/>
      </w:rPr>
    </w:pPr>
  </w:p>
  <w:p w:rsidR="00C86F3A" w:rsidRDefault="00C86F3A" w:rsidP="008561AA">
    <w:pPr>
      <w:pStyle w:val="a7"/>
      <w:framePr w:wrap="around" w:vAnchor="text" w:hAnchor="margin" w:xAlign="center" w:y="1"/>
      <w:rPr>
        <w:rStyle w:val="a9"/>
      </w:rPr>
    </w:pPr>
  </w:p>
  <w:p w:rsidR="00C86F3A" w:rsidRDefault="00C86F3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111"/>
    <w:multiLevelType w:val="hybridMultilevel"/>
    <w:tmpl w:val="BD5AD604"/>
    <w:lvl w:ilvl="0" w:tplc="FFFFFFFF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53FCF"/>
    <w:multiLevelType w:val="hybridMultilevel"/>
    <w:tmpl w:val="1C6A7272"/>
    <w:lvl w:ilvl="0" w:tplc="2F461EC6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871AD7"/>
    <w:multiLevelType w:val="hybridMultilevel"/>
    <w:tmpl w:val="934C6852"/>
    <w:lvl w:ilvl="0" w:tplc="04190011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2835CE"/>
    <w:multiLevelType w:val="hybridMultilevel"/>
    <w:tmpl w:val="06EE3C2C"/>
    <w:lvl w:ilvl="0" w:tplc="E40417E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BD12D2"/>
    <w:multiLevelType w:val="hybridMultilevel"/>
    <w:tmpl w:val="34027E1C"/>
    <w:lvl w:ilvl="0" w:tplc="7E749554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FFFFFFFF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D225609"/>
    <w:multiLevelType w:val="hybridMultilevel"/>
    <w:tmpl w:val="B7BA0F10"/>
    <w:lvl w:ilvl="0" w:tplc="FFFFFFFF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50047BFB"/>
    <w:multiLevelType w:val="hybridMultilevel"/>
    <w:tmpl w:val="7FC64B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E6771"/>
    <w:multiLevelType w:val="singleLevel"/>
    <w:tmpl w:val="FD2C279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C830F73"/>
    <w:multiLevelType w:val="hybridMultilevel"/>
    <w:tmpl w:val="C6EE2908"/>
    <w:lvl w:ilvl="0" w:tplc="6388E10A">
      <w:start w:val="1"/>
      <w:numFmt w:val="decimal"/>
      <w:lvlText w:val="%1)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1AA"/>
    <w:rsid w:val="0001076C"/>
    <w:rsid w:val="000133D2"/>
    <w:rsid w:val="00021502"/>
    <w:rsid w:val="000252CD"/>
    <w:rsid w:val="00026640"/>
    <w:rsid w:val="00030937"/>
    <w:rsid w:val="00043E12"/>
    <w:rsid w:val="00047BC8"/>
    <w:rsid w:val="0005409C"/>
    <w:rsid w:val="000566C6"/>
    <w:rsid w:val="0005692F"/>
    <w:rsid w:val="0006607B"/>
    <w:rsid w:val="000771BE"/>
    <w:rsid w:val="00084A16"/>
    <w:rsid w:val="000A181D"/>
    <w:rsid w:val="000A3BAD"/>
    <w:rsid w:val="000A4284"/>
    <w:rsid w:val="000C6D4B"/>
    <w:rsid w:val="000D00E9"/>
    <w:rsid w:val="000E7A18"/>
    <w:rsid w:val="00100DA2"/>
    <w:rsid w:val="00105E8A"/>
    <w:rsid w:val="00107E7E"/>
    <w:rsid w:val="00124ABD"/>
    <w:rsid w:val="00126F65"/>
    <w:rsid w:val="001351D7"/>
    <w:rsid w:val="00136E3F"/>
    <w:rsid w:val="001374AC"/>
    <w:rsid w:val="00153268"/>
    <w:rsid w:val="00161DA5"/>
    <w:rsid w:val="00183693"/>
    <w:rsid w:val="00191ABD"/>
    <w:rsid w:val="00193D89"/>
    <w:rsid w:val="001943EE"/>
    <w:rsid w:val="001B1B04"/>
    <w:rsid w:val="001C4383"/>
    <w:rsid w:val="001C6AA6"/>
    <w:rsid w:val="001E1005"/>
    <w:rsid w:val="001F13B0"/>
    <w:rsid w:val="001F536B"/>
    <w:rsid w:val="00205B39"/>
    <w:rsid w:val="00230247"/>
    <w:rsid w:val="00236144"/>
    <w:rsid w:val="002424D9"/>
    <w:rsid w:val="0024340C"/>
    <w:rsid w:val="002437F0"/>
    <w:rsid w:val="00250840"/>
    <w:rsid w:val="0025359B"/>
    <w:rsid w:val="00255E49"/>
    <w:rsid w:val="0027537E"/>
    <w:rsid w:val="00275E02"/>
    <w:rsid w:val="00290C3B"/>
    <w:rsid w:val="00293E72"/>
    <w:rsid w:val="002A19BE"/>
    <w:rsid w:val="002A1B5E"/>
    <w:rsid w:val="002A5903"/>
    <w:rsid w:val="002B789C"/>
    <w:rsid w:val="002C59C9"/>
    <w:rsid w:val="002D2496"/>
    <w:rsid w:val="002D60DD"/>
    <w:rsid w:val="002D6DC3"/>
    <w:rsid w:val="00312738"/>
    <w:rsid w:val="003264B4"/>
    <w:rsid w:val="003305CA"/>
    <w:rsid w:val="00336589"/>
    <w:rsid w:val="00341416"/>
    <w:rsid w:val="003421A4"/>
    <w:rsid w:val="00342792"/>
    <w:rsid w:val="00367BCC"/>
    <w:rsid w:val="00370AAF"/>
    <w:rsid w:val="00370D1F"/>
    <w:rsid w:val="003823A8"/>
    <w:rsid w:val="003858B4"/>
    <w:rsid w:val="00393D02"/>
    <w:rsid w:val="003B554F"/>
    <w:rsid w:val="003C0805"/>
    <w:rsid w:val="003C2340"/>
    <w:rsid w:val="003C4C86"/>
    <w:rsid w:val="003E3AC3"/>
    <w:rsid w:val="003F1213"/>
    <w:rsid w:val="003F5BE7"/>
    <w:rsid w:val="00417CDE"/>
    <w:rsid w:val="00421058"/>
    <w:rsid w:val="004263D8"/>
    <w:rsid w:val="0043597D"/>
    <w:rsid w:val="00436B68"/>
    <w:rsid w:val="00440120"/>
    <w:rsid w:val="00447C39"/>
    <w:rsid w:val="004534FD"/>
    <w:rsid w:val="004560CB"/>
    <w:rsid w:val="004572B5"/>
    <w:rsid w:val="00457B8A"/>
    <w:rsid w:val="0046631C"/>
    <w:rsid w:val="0047275D"/>
    <w:rsid w:val="0048532E"/>
    <w:rsid w:val="00493711"/>
    <w:rsid w:val="004A5634"/>
    <w:rsid w:val="004A718C"/>
    <w:rsid w:val="004B14E0"/>
    <w:rsid w:val="004B3D5B"/>
    <w:rsid w:val="004B7BDA"/>
    <w:rsid w:val="004C0E34"/>
    <w:rsid w:val="004C17F2"/>
    <w:rsid w:val="004C4188"/>
    <w:rsid w:val="004C516B"/>
    <w:rsid w:val="004D14AC"/>
    <w:rsid w:val="004D1C2F"/>
    <w:rsid w:val="004E2B47"/>
    <w:rsid w:val="004F6F04"/>
    <w:rsid w:val="00506A4C"/>
    <w:rsid w:val="0051603B"/>
    <w:rsid w:val="005232E1"/>
    <w:rsid w:val="00541D88"/>
    <w:rsid w:val="0055011D"/>
    <w:rsid w:val="005526C7"/>
    <w:rsid w:val="00556C2A"/>
    <w:rsid w:val="005700E4"/>
    <w:rsid w:val="00593E95"/>
    <w:rsid w:val="005B676E"/>
    <w:rsid w:val="005C4BC5"/>
    <w:rsid w:val="005D3468"/>
    <w:rsid w:val="005D6EFE"/>
    <w:rsid w:val="005E0AD1"/>
    <w:rsid w:val="005E1188"/>
    <w:rsid w:val="00611609"/>
    <w:rsid w:val="0061431C"/>
    <w:rsid w:val="0061440C"/>
    <w:rsid w:val="00617987"/>
    <w:rsid w:val="00633E75"/>
    <w:rsid w:val="0064447F"/>
    <w:rsid w:val="00646424"/>
    <w:rsid w:val="00665724"/>
    <w:rsid w:val="00665B2B"/>
    <w:rsid w:val="0068027E"/>
    <w:rsid w:val="0069285E"/>
    <w:rsid w:val="006A6965"/>
    <w:rsid w:val="006B5D14"/>
    <w:rsid w:val="006C0E7B"/>
    <w:rsid w:val="006C12E8"/>
    <w:rsid w:val="006C4778"/>
    <w:rsid w:val="006D42EF"/>
    <w:rsid w:val="006E30E1"/>
    <w:rsid w:val="006E3516"/>
    <w:rsid w:val="006E393C"/>
    <w:rsid w:val="006E6A07"/>
    <w:rsid w:val="006F1D1D"/>
    <w:rsid w:val="00705DB8"/>
    <w:rsid w:val="00711D55"/>
    <w:rsid w:val="007169A8"/>
    <w:rsid w:val="007232E3"/>
    <w:rsid w:val="00724E7D"/>
    <w:rsid w:val="00731044"/>
    <w:rsid w:val="00736370"/>
    <w:rsid w:val="00736996"/>
    <w:rsid w:val="00746DD9"/>
    <w:rsid w:val="00750C8C"/>
    <w:rsid w:val="0075123D"/>
    <w:rsid w:val="007574D5"/>
    <w:rsid w:val="007610B7"/>
    <w:rsid w:val="007612B6"/>
    <w:rsid w:val="00764BAC"/>
    <w:rsid w:val="0076667B"/>
    <w:rsid w:val="00771ED9"/>
    <w:rsid w:val="00775434"/>
    <w:rsid w:val="00784C47"/>
    <w:rsid w:val="007925BB"/>
    <w:rsid w:val="00793684"/>
    <w:rsid w:val="00793F3A"/>
    <w:rsid w:val="007A59E5"/>
    <w:rsid w:val="007B53F8"/>
    <w:rsid w:val="007C0422"/>
    <w:rsid w:val="007C0825"/>
    <w:rsid w:val="007C1AB7"/>
    <w:rsid w:val="007C2D2A"/>
    <w:rsid w:val="007C6BC3"/>
    <w:rsid w:val="007E30CB"/>
    <w:rsid w:val="007E36E3"/>
    <w:rsid w:val="007F2D52"/>
    <w:rsid w:val="0080146F"/>
    <w:rsid w:val="00825D4D"/>
    <w:rsid w:val="0083118B"/>
    <w:rsid w:val="00833E89"/>
    <w:rsid w:val="00840103"/>
    <w:rsid w:val="0084287E"/>
    <w:rsid w:val="00844F2B"/>
    <w:rsid w:val="00850275"/>
    <w:rsid w:val="008561AA"/>
    <w:rsid w:val="00866606"/>
    <w:rsid w:val="0087437A"/>
    <w:rsid w:val="008965D7"/>
    <w:rsid w:val="008A4C80"/>
    <w:rsid w:val="008B2A3F"/>
    <w:rsid w:val="008B7AA6"/>
    <w:rsid w:val="008C37C6"/>
    <w:rsid w:val="008C690D"/>
    <w:rsid w:val="008D5F97"/>
    <w:rsid w:val="008E33C2"/>
    <w:rsid w:val="008E78BA"/>
    <w:rsid w:val="0090063A"/>
    <w:rsid w:val="009015C1"/>
    <w:rsid w:val="0090575E"/>
    <w:rsid w:val="00906B02"/>
    <w:rsid w:val="009142E5"/>
    <w:rsid w:val="00917B79"/>
    <w:rsid w:val="00923CE9"/>
    <w:rsid w:val="00931F36"/>
    <w:rsid w:val="00937237"/>
    <w:rsid w:val="00940915"/>
    <w:rsid w:val="00943269"/>
    <w:rsid w:val="009456EE"/>
    <w:rsid w:val="00960944"/>
    <w:rsid w:val="009618D1"/>
    <w:rsid w:val="009646D2"/>
    <w:rsid w:val="0096795B"/>
    <w:rsid w:val="00974158"/>
    <w:rsid w:val="0097710D"/>
    <w:rsid w:val="00984CE7"/>
    <w:rsid w:val="00985EE9"/>
    <w:rsid w:val="009A1030"/>
    <w:rsid w:val="009B5333"/>
    <w:rsid w:val="009F0781"/>
    <w:rsid w:val="009F143B"/>
    <w:rsid w:val="009F1C1D"/>
    <w:rsid w:val="009F2308"/>
    <w:rsid w:val="009F4FEF"/>
    <w:rsid w:val="00A07C1C"/>
    <w:rsid w:val="00A12720"/>
    <w:rsid w:val="00A1765E"/>
    <w:rsid w:val="00A30B4E"/>
    <w:rsid w:val="00A326EE"/>
    <w:rsid w:val="00A6098F"/>
    <w:rsid w:val="00A62087"/>
    <w:rsid w:val="00A6435D"/>
    <w:rsid w:val="00A66B38"/>
    <w:rsid w:val="00A7263D"/>
    <w:rsid w:val="00A72845"/>
    <w:rsid w:val="00A802E4"/>
    <w:rsid w:val="00A82804"/>
    <w:rsid w:val="00A906BE"/>
    <w:rsid w:val="00A94812"/>
    <w:rsid w:val="00A97720"/>
    <w:rsid w:val="00AA50B1"/>
    <w:rsid w:val="00AB2814"/>
    <w:rsid w:val="00AB6B15"/>
    <w:rsid w:val="00AC69C3"/>
    <w:rsid w:val="00AD1576"/>
    <w:rsid w:val="00AE07C0"/>
    <w:rsid w:val="00AF1FEB"/>
    <w:rsid w:val="00AF2037"/>
    <w:rsid w:val="00AF20B6"/>
    <w:rsid w:val="00AF468C"/>
    <w:rsid w:val="00B015D4"/>
    <w:rsid w:val="00B01E63"/>
    <w:rsid w:val="00B15DDC"/>
    <w:rsid w:val="00B21780"/>
    <w:rsid w:val="00B23F0B"/>
    <w:rsid w:val="00B2757B"/>
    <w:rsid w:val="00B33C1A"/>
    <w:rsid w:val="00B41583"/>
    <w:rsid w:val="00B45C7A"/>
    <w:rsid w:val="00B5511A"/>
    <w:rsid w:val="00B5646D"/>
    <w:rsid w:val="00B6655C"/>
    <w:rsid w:val="00B66F2C"/>
    <w:rsid w:val="00B719E7"/>
    <w:rsid w:val="00B72118"/>
    <w:rsid w:val="00B77A5B"/>
    <w:rsid w:val="00B77E80"/>
    <w:rsid w:val="00B8292A"/>
    <w:rsid w:val="00B85920"/>
    <w:rsid w:val="00B87654"/>
    <w:rsid w:val="00B91192"/>
    <w:rsid w:val="00BA1092"/>
    <w:rsid w:val="00BA1EBA"/>
    <w:rsid w:val="00BA3BCA"/>
    <w:rsid w:val="00BA78E2"/>
    <w:rsid w:val="00BA7B0C"/>
    <w:rsid w:val="00BB161F"/>
    <w:rsid w:val="00BB24C0"/>
    <w:rsid w:val="00BB37E2"/>
    <w:rsid w:val="00BC4013"/>
    <w:rsid w:val="00BC4F17"/>
    <w:rsid w:val="00BC55AC"/>
    <w:rsid w:val="00BD2105"/>
    <w:rsid w:val="00BE003A"/>
    <w:rsid w:val="00BE1296"/>
    <w:rsid w:val="00BE2DD3"/>
    <w:rsid w:val="00BE450A"/>
    <w:rsid w:val="00BE4562"/>
    <w:rsid w:val="00BE5935"/>
    <w:rsid w:val="00C025BE"/>
    <w:rsid w:val="00C22BA0"/>
    <w:rsid w:val="00C30B80"/>
    <w:rsid w:val="00C3179D"/>
    <w:rsid w:val="00C422A5"/>
    <w:rsid w:val="00C51928"/>
    <w:rsid w:val="00C52C40"/>
    <w:rsid w:val="00C53D0F"/>
    <w:rsid w:val="00C60E78"/>
    <w:rsid w:val="00C70499"/>
    <w:rsid w:val="00C72BD1"/>
    <w:rsid w:val="00C8634C"/>
    <w:rsid w:val="00C86F3A"/>
    <w:rsid w:val="00C9033C"/>
    <w:rsid w:val="00C942C8"/>
    <w:rsid w:val="00CA14C2"/>
    <w:rsid w:val="00CB6D27"/>
    <w:rsid w:val="00CC2899"/>
    <w:rsid w:val="00CC4C19"/>
    <w:rsid w:val="00CD1E46"/>
    <w:rsid w:val="00CD277B"/>
    <w:rsid w:val="00CD30BF"/>
    <w:rsid w:val="00CD4987"/>
    <w:rsid w:val="00D071AC"/>
    <w:rsid w:val="00D167EE"/>
    <w:rsid w:val="00D23FA6"/>
    <w:rsid w:val="00D4417D"/>
    <w:rsid w:val="00D56059"/>
    <w:rsid w:val="00D56945"/>
    <w:rsid w:val="00D77B01"/>
    <w:rsid w:val="00D8137A"/>
    <w:rsid w:val="00D85356"/>
    <w:rsid w:val="00D9280A"/>
    <w:rsid w:val="00D92F0E"/>
    <w:rsid w:val="00DA1E4F"/>
    <w:rsid w:val="00DA7441"/>
    <w:rsid w:val="00DC66B1"/>
    <w:rsid w:val="00DD2434"/>
    <w:rsid w:val="00DE04B8"/>
    <w:rsid w:val="00DE1B76"/>
    <w:rsid w:val="00DE48E8"/>
    <w:rsid w:val="00DE72CB"/>
    <w:rsid w:val="00E06EB5"/>
    <w:rsid w:val="00E07036"/>
    <w:rsid w:val="00E220BF"/>
    <w:rsid w:val="00E26955"/>
    <w:rsid w:val="00E31C14"/>
    <w:rsid w:val="00E32A43"/>
    <w:rsid w:val="00E40EEF"/>
    <w:rsid w:val="00E51A15"/>
    <w:rsid w:val="00E569D5"/>
    <w:rsid w:val="00E64F4D"/>
    <w:rsid w:val="00E73272"/>
    <w:rsid w:val="00E76E88"/>
    <w:rsid w:val="00E83B6D"/>
    <w:rsid w:val="00E87637"/>
    <w:rsid w:val="00E94A4E"/>
    <w:rsid w:val="00E974C1"/>
    <w:rsid w:val="00EA7487"/>
    <w:rsid w:val="00EB3E1B"/>
    <w:rsid w:val="00EB68EE"/>
    <w:rsid w:val="00EB721C"/>
    <w:rsid w:val="00EC485F"/>
    <w:rsid w:val="00EC745E"/>
    <w:rsid w:val="00EE1F1B"/>
    <w:rsid w:val="00EF2347"/>
    <w:rsid w:val="00EF4A51"/>
    <w:rsid w:val="00EF4C09"/>
    <w:rsid w:val="00EF592B"/>
    <w:rsid w:val="00F1128C"/>
    <w:rsid w:val="00F1327B"/>
    <w:rsid w:val="00F21DED"/>
    <w:rsid w:val="00F23050"/>
    <w:rsid w:val="00F33B4C"/>
    <w:rsid w:val="00F36387"/>
    <w:rsid w:val="00F42EC3"/>
    <w:rsid w:val="00F46CD0"/>
    <w:rsid w:val="00F547E7"/>
    <w:rsid w:val="00F61AB6"/>
    <w:rsid w:val="00F6742A"/>
    <w:rsid w:val="00F72705"/>
    <w:rsid w:val="00F81545"/>
    <w:rsid w:val="00F817D6"/>
    <w:rsid w:val="00F87D13"/>
    <w:rsid w:val="00F90BB4"/>
    <w:rsid w:val="00FA15A5"/>
    <w:rsid w:val="00FA7F51"/>
    <w:rsid w:val="00FB66E1"/>
    <w:rsid w:val="00FB7D5F"/>
    <w:rsid w:val="00FC2CA3"/>
    <w:rsid w:val="00FD28F9"/>
    <w:rsid w:val="00FE116C"/>
    <w:rsid w:val="00FE4D89"/>
    <w:rsid w:val="00FE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1AA"/>
    <w:rPr>
      <w:sz w:val="24"/>
      <w:szCs w:val="24"/>
    </w:rPr>
  </w:style>
  <w:style w:type="paragraph" w:styleId="1">
    <w:name w:val="heading 1"/>
    <w:basedOn w:val="a"/>
    <w:next w:val="a"/>
    <w:autoRedefine/>
    <w:qFormat/>
    <w:rsid w:val="008561AA"/>
    <w:pPr>
      <w:keepNext/>
      <w:spacing w:after="240"/>
      <w:jc w:val="center"/>
      <w:outlineLvl w:val="0"/>
    </w:pPr>
    <w:rPr>
      <w:rFonts w:eastAsia="Batang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0">
    <w:name w:val="toc 1"/>
    <w:basedOn w:val="a"/>
    <w:next w:val="a"/>
    <w:autoRedefine/>
    <w:semiHidden/>
    <w:rsid w:val="008561AA"/>
    <w:pPr>
      <w:tabs>
        <w:tab w:val="right" w:leader="underscore" w:pos="9540"/>
      </w:tabs>
      <w:spacing w:before="120"/>
      <w:jc w:val="center"/>
    </w:pPr>
    <w:rPr>
      <w:b/>
      <w:sz w:val="28"/>
      <w:szCs w:val="28"/>
    </w:rPr>
  </w:style>
  <w:style w:type="paragraph" w:customStyle="1" w:styleId="ConsNormal">
    <w:name w:val="ConsNormal"/>
    <w:rsid w:val="008561AA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styleId="a3">
    <w:name w:val="Body Text Indent"/>
    <w:basedOn w:val="a"/>
    <w:link w:val="a4"/>
    <w:rsid w:val="008561AA"/>
    <w:pPr>
      <w:ind w:firstLine="540"/>
      <w:jc w:val="both"/>
    </w:pPr>
    <w:rPr>
      <w:lang/>
    </w:rPr>
  </w:style>
  <w:style w:type="paragraph" w:styleId="a5">
    <w:name w:val="Body Text"/>
    <w:basedOn w:val="a"/>
    <w:autoRedefine/>
    <w:rsid w:val="00AB2814"/>
    <w:pPr>
      <w:tabs>
        <w:tab w:val="left" w:pos="945"/>
        <w:tab w:val="right" w:pos="9360"/>
      </w:tabs>
      <w:jc w:val="center"/>
    </w:pPr>
    <w:rPr>
      <w:b/>
    </w:rPr>
  </w:style>
  <w:style w:type="paragraph" w:styleId="2">
    <w:name w:val="Body Text Indent 2"/>
    <w:basedOn w:val="a"/>
    <w:rsid w:val="008561AA"/>
    <w:pPr>
      <w:ind w:firstLine="539"/>
      <w:jc w:val="both"/>
    </w:pPr>
  </w:style>
  <w:style w:type="paragraph" w:styleId="a6">
    <w:name w:val="footer"/>
    <w:basedOn w:val="a"/>
    <w:rsid w:val="008561AA"/>
    <w:rPr>
      <w:u w:val="single"/>
    </w:rPr>
  </w:style>
  <w:style w:type="paragraph" w:styleId="a7">
    <w:name w:val="header"/>
    <w:basedOn w:val="a"/>
    <w:link w:val="a8"/>
    <w:rsid w:val="008561AA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8561AA"/>
  </w:style>
  <w:style w:type="paragraph" w:customStyle="1" w:styleId="11">
    <w:name w:val=" Знак Знак11 Знак Знак Знак Знак"/>
    <w:basedOn w:val="a"/>
    <w:rsid w:val="0031273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2C59C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6E3516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6E3516"/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3858B4"/>
    <w:rPr>
      <w:sz w:val="24"/>
      <w:szCs w:val="24"/>
    </w:rPr>
  </w:style>
  <w:style w:type="table" w:styleId="ab">
    <w:name w:val="Table Grid"/>
    <w:basedOn w:val="a1"/>
    <w:rsid w:val="00E83B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456E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8">
    <w:name w:val="Верхний колонтитул Знак"/>
    <w:link w:val="a7"/>
    <w:rsid w:val="000A42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3644A-7C75-4A73-ACF3-BDD37429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1810</Words>
  <Characters>12872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 №  191/13</vt:lpstr>
    </vt:vector>
  </TitlesOfParts>
  <Company>Org</Company>
  <LinksUpToDate>false</LinksUpToDate>
  <CharactersWithSpaces>14653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 №  191/13</dc:title>
  <dc:subject/>
  <dc:creator>User</dc:creator>
  <cp:keywords/>
  <cp:lastModifiedBy>User</cp:lastModifiedBy>
  <cp:revision>2</cp:revision>
  <cp:lastPrinted>2015-12-16T12:11:00Z</cp:lastPrinted>
  <dcterms:created xsi:type="dcterms:W3CDTF">2017-10-24T05:12:00Z</dcterms:created>
  <dcterms:modified xsi:type="dcterms:W3CDTF">2017-10-24T05:12:00Z</dcterms:modified>
</cp:coreProperties>
</file>